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104D5347" w:rsidR="00233335" w:rsidRPr="00315919" w:rsidRDefault="00233335" w:rsidP="00233335">
      <w:pPr>
        <w:pStyle w:val="CRCoverPage"/>
        <w:tabs>
          <w:tab w:val="right" w:pos="9639"/>
        </w:tabs>
        <w:spacing w:after="0"/>
        <w:rPr>
          <w:b/>
          <w:i/>
          <w:noProof/>
          <w:sz w:val="24"/>
          <w:szCs w:val="28"/>
        </w:rPr>
      </w:pPr>
      <w:r>
        <w:rPr>
          <w:b/>
          <w:noProof/>
          <w:sz w:val="24"/>
          <w:szCs w:val="28"/>
        </w:rPr>
        <w:t>3GPP TSG-RAN WG3 Meeting #10</w:t>
      </w:r>
      <w:r w:rsidR="002C69C0">
        <w:rPr>
          <w:b/>
          <w:noProof/>
          <w:sz w:val="24"/>
          <w:szCs w:val="28"/>
        </w:rPr>
        <w:t>8</w:t>
      </w:r>
      <w:r>
        <w:rPr>
          <w:b/>
          <w:noProof/>
          <w:sz w:val="24"/>
          <w:szCs w:val="28"/>
        </w:rPr>
        <w:t>-e</w:t>
      </w:r>
      <w:r>
        <w:rPr>
          <w:b/>
          <w:i/>
          <w:noProof/>
          <w:sz w:val="24"/>
          <w:szCs w:val="28"/>
        </w:rPr>
        <w:tab/>
      </w:r>
      <w:r w:rsidRPr="00315919">
        <w:rPr>
          <w:b/>
          <w:noProof/>
          <w:sz w:val="28"/>
          <w:szCs w:val="28"/>
        </w:rPr>
        <w:t>R3-</w:t>
      </w:r>
      <w:r w:rsidR="009E2ED6" w:rsidRPr="00315919">
        <w:rPr>
          <w:b/>
          <w:noProof/>
          <w:sz w:val="28"/>
          <w:szCs w:val="28"/>
        </w:rPr>
        <w:t>20</w:t>
      </w:r>
      <w:r w:rsidR="009E2ED6">
        <w:rPr>
          <w:b/>
          <w:noProof/>
          <w:sz w:val="28"/>
          <w:szCs w:val="28"/>
        </w:rPr>
        <w:t>4</w:t>
      </w:r>
      <w:r w:rsidR="009E2ED6">
        <w:rPr>
          <w:b/>
          <w:noProof/>
          <w:sz w:val="28"/>
          <w:szCs w:val="28"/>
        </w:rPr>
        <w:t>381</w:t>
      </w:r>
    </w:p>
    <w:p w14:paraId="34174A6C" w14:textId="2067DDFC" w:rsidR="00233335" w:rsidRDefault="00233335" w:rsidP="00233335">
      <w:pPr>
        <w:pStyle w:val="CRCoverPage"/>
        <w:outlineLvl w:val="0"/>
        <w:rPr>
          <w:b/>
          <w:noProof/>
          <w:sz w:val="24"/>
          <w:szCs w:val="28"/>
        </w:rPr>
      </w:pPr>
      <w:r w:rsidRPr="00315919">
        <w:rPr>
          <w:b/>
          <w:noProof/>
          <w:sz w:val="24"/>
          <w:szCs w:val="28"/>
        </w:rPr>
        <w:t xml:space="preserve">Online, </w:t>
      </w:r>
      <w:r w:rsidR="002C69C0" w:rsidRPr="00315919">
        <w:rPr>
          <w:b/>
          <w:noProof/>
          <w:sz w:val="24"/>
          <w:szCs w:val="28"/>
        </w:rPr>
        <w:t>June</w:t>
      </w:r>
      <w:r w:rsidRPr="00315919">
        <w:rPr>
          <w:b/>
          <w:noProof/>
          <w:sz w:val="24"/>
          <w:szCs w:val="28"/>
        </w:rPr>
        <w:t xml:space="preserve"> </w:t>
      </w:r>
      <w:r w:rsidR="002C69C0" w:rsidRPr="00315919">
        <w:rPr>
          <w:b/>
          <w:noProof/>
          <w:sz w:val="24"/>
          <w:szCs w:val="28"/>
        </w:rPr>
        <w:t>1</w:t>
      </w:r>
      <w:r w:rsidR="002C69C0" w:rsidRPr="00315919">
        <w:rPr>
          <w:b/>
          <w:noProof/>
          <w:sz w:val="24"/>
          <w:szCs w:val="28"/>
          <w:vertAlign w:val="superscript"/>
        </w:rPr>
        <w:t>st</w:t>
      </w:r>
      <w:r w:rsidRPr="00315919">
        <w:rPr>
          <w:b/>
          <w:noProof/>
          <w:sz w:val="24"/>
          <w:szCs w:val="28"/>
        </w:rPr>
        <w:t xml:space="preserve"> – </w:t>
      </w:r>
      <w:r w:rsidR="002C69C0" w:rsidRPr="00315919">
        <w:rPr>
          <w:b/>
          <w:noProof/>
          <w:sz w:val="24"/>
          <w:szCs w:val="28"/>
        </w:rPr>
        <w:t>1</w:t>
      </w:r>
      <w:r w:rsidR="00CD7E92" w:rsidRPr="00315919">
        <w:rPr>
          <w:b/>
          <w:noProof/>
          <w:sz w:val="24"/>
          <w:szCs w:val="28"/>
        </w:rPr>
        <w:t>1</w:t>
      </w:r>
      <w:r w:rsidRPr="00315919">
        <w:rPr>
          <w:b/>
          <w:noProof/>
          <w:sz w:val="24"/>
          <w:szCs w:val="28"/>
          <w:vertAlign w:val="superscript"/>
        </w:rPr>
        <w:t>th</w:t>
      </w:r>
      <w:r w:rsidRPr="00315919">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A9E3171"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w:t>
      </w:r>
      <w:r w:rsidR="0050202E">
        <w:rPr>
          <w:rFonts w:asciiTheme="minorHAnsi" w:hAnsiTheme="minorHAnsi" w:cstheme="minorHAnsi"/>
          <w:szCs w:val="26"/>
          <w:lang w:val="en-US"/>
        </w:rPr>
        <w:t>1</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372BE2E5"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w:t>
      </w:r>
      <w:r w:rsidR="00475934">
        <w:rPr>
          <w:rFonts w:asciiTheme="minorHAnsi" w:hAnsiTheme="minorHAnsi" w:cstheme="minorHAnsi"/>
          <w:szCs w:val="22"/>
        </w:rPr>
        <w:t>8</w:t>
      </w:r>
      <w:r w:rsidR="0050202E">
        <w:rPr>
          <w:rFonts w:asciiTheme="minorHAnsi" w:hAnsiTheme="minorHAnsi" w:cstheme="minorHAnsi"/>
          <w:szCs w:val="22"/>
        </w:rPr>
        <w:t>.4</w:t>
      </w:r>
      <w:r w:rsidR="00FC4F88">
        <w:rPr>
          <w:rFonts w:asciiTheme="minorHAnsi" w:hAnsiTheme="minorHAnsi" w:cstheme="minorHAnsi"/>
          <w:szCs w:val="22"/>
        </w:rPr>
        <w:t>01</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475934">
        <w:rPr>
          <w:rFonts w:asciiTheme="minorHAnsi" w:hAnsiTheme="minorHAnsi" w:cstheme="minorHAnsi"/>
          <w:szCs w:val="22"/>
        </w:rPr>
        <w:t>Corrections to BL CR</w:t>
      </w:r>
    </w:p>
    <w:p w14:paraId="430E5797" w14:textId="4EBBD309"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0EF7CF56" w14:textId="1C78DC04" w:rsidR="00BE66C7" w:rsidRDefault="005D5B36" w:rsidP="00F42C37">
      <w:pPr>
        <w:pStyle w:val="3GPPHeader"/>
        <w:jc w:val="left"/>
        <w:rPr>
          <w:rFonts w:ascii="Calibri" w:hAnsi="Calibri" w:cs="Calibri"/>
          <w:sz w:val="22"/>
          <w:szCs w:val="22"/>
        </w:rPr>
      </w:pPr>
      <w:r>
        <w:rPr>
          <w:rFonts w:asciiTheme="minorHAnsi" w:hAnsiTheme="minorHAnsi" w:cstheme="minorHAnsi"/>
          <w:b w:val="0"/>
          <w:bCs/>
          <w:sz w:val="22"/>
          <w:szCs w:val="24"/>
          <w:lang w:val="en-US"/>
        </w:rPr>
        <w:t xml:space="preserve">The </w:t>
      </w:r>
      <w:r w:rsidR="00F42C37">
        <w:rPr>
          <w:rFonts w:asciiTheme="minorHAnsi" w:hAnsiTheme="minorHAnsi" w:cstheme="minorHAnsi"/>
          <w:b w:val="0"/>
          <w:bCs/>
          <w:sz w:val="22"/>
          <w:szCs w:val="24"/>
          <w:lang w:val="en-US"/>
        </w:rPr>
        <w:t>TP in the Annex proposes corrections to IAB BL CR for TS 38.401, in order to reflect the fact that user plane setup for IAB-MT</w:t>
      </w:r>
      <w:r w:rsidR="009E2ED6">
        <w:rPr>
          <w:rFonts w:asciiTheme="minorHAnsi" w:hAnsiTheme="minorHAnsi" w:cstheme="minorHAnsi"/>
          <w:b w:val="0"/>
          <w:bCs/>
          <w:sz w:val="22"/>
          <w:szCs w:val="24"/>
          <w:lang w:val="en-US"/>
        </w:rPr>
        <w:t xml:space="preserve"> in SA</w:t>
      </w:r>
      <w:r w:rsidR="00F42C37">
        <w:rPr>
          <w:rFonts w:asciiTheme="minorHAnsi" w:hAnsiTheme="minorHAnsi" w:cstheme="minorHAnsi"/>
          <w:b w:val="0"/>
          <w:bCs/>
          <w:sz w:val="22"/>
          <w:szCs w:val="24"/>
          <w:lang w:val="en-US"/>
        </w:rPr>
        <w:t xml:space="preserve"> is optional.</w:t>
      </w:r>
    </w:p>
    <w:p w14:paraId="53D9C1ED" w14:textId="33A31A7C" w:rsidR="00BE66C7" w:rsidRPr="00F77341" w:rsidRDefault="00BE66C7" w:rsidP="00BE66C7">
      <w:pPr>
        <w:jc w:val="left"/>
        <w:rPr>
          <w:rFonts w:ascii="Calibri" w:hAnsi="Calibri" w:cs="Calibri"/>
          <w:sz w:val="22"/>
          <w:szCs w:val="22"/>
        </w:rPr>
      </w:pPr>
      <w:r w:rsidRPr="00194B85">
        <w:rPr>
          <w:rStyle w:val="IvDbodytextChar"/>
          <w:rFonts w:asciiTheme="minorHAnsi" w:hAnsiTheme="minorHAnsi" w:cstheme="minorHAnsi"/>
          <w:b/>
          <w:sz w:val="22"/>
          <w:szCs w:val="22"/>
        </w:rPr>
        <w:t xml:space="preserve">Proposal: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Pr>
          <w:rStyle w:val="IvDbodytextChar"/>
          <w:rFonts w:asciiTheme="minorHAnsi" w:hAnsiTheme="minorHAnsi" w:cstheme="minorHAnsi"/>
          <w:b/>
          <w:sz w:val="22"/>
          <w:szCs w:val="22"/>
        </w:rPr>
        <w:t>8</w:t>
      </w:r>
      <w:r w:rsidRPr="002B5413">
        <w:rPr>
          <w:rStyle w:val="IvDbodytextChar"/>
          <w:rFonts w:asciiTheme="minorHAnsi" w:hAnsiTheme="minorHAnsi" w:cstheme="minorHAnsi"/>
          <w:b/>
          <w:sz w:val="22"/>
          <w:szCs w:val="22"/>
        </w:rPr>
        <w:t>.4</w:t>
      </w:r>
      <w:r w:rsidR="00F42C37">
        <w:rPr>
          <w:rStyle w:val="IvDbodytextChar"/>
          <w:rFonts w:asciiTheme="minorHAnsi" w:hAnsiTheme="minorHAnsi" w:cstheme="minorHAnsi"/>
          <w:b/>
          <w:sz w:val="22"/>
          <w:szCs w:val="22"/>
        </w:rPr>
        <w:t>01</w:t>
      </w:r>
      <w:r w:rsidRPr="002B5413">
        <w:rPr>
          <w:rStyle w:val="IvDbodytextChar"/>
          <w:rFonts w:asciiTheme="minorHAnsi" w:hAnsiTheme="minorHAnsi" w:cstheme="minorHAnsi"/>
          <w:b/>
          <w:sz w:val="22"/>
          <w:szCs w:val="22"/>
        </w:rPr>
        <w:t>,</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571D5528" w14:textId="1DE9FCBC" w:rsidR="00AE6827" w:rsidRDefault="00AE6827" w:rsidP="00AE6827">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Pr>
          <w:rFonts w:asciiTheme="minorHAnsi" w:hAnsiTheme="minorHAnsi" w:cstheme="minorHAnsi"/>
          <w:sz w:val="40"/>
          <w:szCs w:val="40"/>
        </w:rPr>
        <w:t>8</w:t>
      </w:r>
      <w:r w:rsidRPr="00A25F65">
        <w:rPr>
          <w:rFonts w:asciiTheme="minorHAnsi" w:hAnsiTheme="minorHAnsi" w:cstheme="minorHAnsi"/>
          <w:sz w:val="40"/>
          <w:szCs w:val="40"/>
        </w:rPr>
        <w:t>.</w:t>
      </w:r>
      <w:r>
        <w:rPr>
          <w:rFonts w:asciiTheme="minorHAnsi" w:hAnsiTheme="minorHAnsi" w:cstheme="minorHAnsi"/>
          <w:sz w:val="40"/>
          <w:szCs w:val="40"/>
        </w:rPr>
        <w:t>4</w:t>
      </w:r>
      <w:r w:rsidR="00F42C37">
        <w:rPr>
          <w:rFonts w:asciiTheme="minorHAnsi" w:hAnsiTheme="minorHAnsi" w:cstheme="minorHAnsi"/>
          <w:sz w:val="40"/>
          <w:szCs w:val="40"/>
        </w:rPr>
        <w:t>01</w:t>
      </w:r>
    </w:p>
    <w:p w14:paraId="1B58CFA0" w14:textId="14C5DDB0" w:rsidR="00AE6827" w:rsidRDefault="00AE6827" w:rsidP="00AE6827">
      <w:pPr>
        <w:jc w:val="center"/>
        <w:rPr>
          <w:highlight w:val="yellow"/>
        </w:rPr>
      </w:pPr>
      <w:r w:rsidRPr="00B82522">
        <w:rPr>
          <w:highlight w:val="yellow"/>
        </w:rPr>
        <w:t>-------------------------------------------Change</w:t>
      </w:r>
      <w:r>
        <w:rPr>
          <w:highlight w:val="yellow"/>
        </w:rPr>
        <w:t xml:space="preserve"> 1</w:t>
      </w:r>
      <w:r w:rsidRPr="00B82522">
        <w:rPr>
          <w:highlight w:val="yellow"/>
        </w:rPr>
        <w:t>-------------------------------------------</w:t>
      </w:r>
    </w:p>
    <w:p w14:paraId="05D6699B" w14:textId="0D9E096C" w:rsidR="00F42C37" w:rsidRDefault="00F42C37" w:rsidP="00AE6827">
      <w:pPr>
        <w:jc w:val="center"/>
        <w:rPr>
          <w:highlight w:val="yellow"/>
        </w:rPr>
      </w:pPr>
    </w:p>
    <w:p w14:paraId="6690E65D" w14:textId="77777777" w:rsidR="00C6618F" w:rsidRPr="00FF178A" w:rsidRDefault="00C6618F" w:rsidP="00C6618F">
      <w:pPr>
        <w:pStyle w:val="Heading1"/>
        <w:numPr>
          <w:ilvl w:val="0"/>
          <w:numId w:val="0"/>
        </w:numPr>
        <w:ind w:left="432" w:hanging="432"/>
      </w:pPr>
      <w:bookmarkStart w:id="0" w:name="_Toc5612606"/>
      <w:r w:rsidRPr="00FF178A">
        <w:t>8</w:t>
      </w:r>
      <w:r w:rsidRPr="00FF178A">
        <w:tab/>
        <w:t>Overall procedures in gNB-CU/gNB-DU Architecture</w:t>
      </w:r>
      <w:bookmarkEnd w:id="0"/>
    </w:p>
    <w:p w14:paraId="5FE265C9" w14:textId="77777777" w:rsidR="00C6618F" w:rsidRPr="00006476" w:rsidRDefault="00C6618F" w:rsidP="00C6618F">
      <w:pPr>
        <w:jc w:val="center"/>
        <w:rPr>
          <w:color w:val="FF0000"/>
        </w:rPr>
      </w:pPr>
      <w:r w:rsidRPr="00006476">
        <w:rPr>
          <w:color w:val="FF0000"/>
        </w:rPr>
        <w:t>&gt;&gt;&gt;&gt; unchanged parts are skipped&lt;&lt;&lt;&lt;</w:t>
      </w:r>
    </w:p>
    <w:p w14:paraId="0B67AE5C" w14:textId="77777777" w:rsidR="00C6618F" w:rsidRDefault="00C6618F" w:rsidP="00C6618F">
      <w:pPr>
        <w:pStyle w:val="Heading3"/>
        <w:numPr>
          <w:ilvl w:val="0"/>
          <w:numId w:val="0"/>
        </w:numPr>
        <w:ind w:left="720" w:hanging="720"/>
      </w:pPr>
      <w:r>
        <w:t>8.2.x</w:t>
      </w:r>
      <w:r w:rsidRPr="00A946F5">
        <w:tab/>
      </w:r>
      <w:bookmarkStart w:id="1" w:name="OLE_LINK12"/>
      <w:r>
        <w:t>Intra-CU topology adaptation procedure</w:t>
      </w:r>
    </w:p>
    <w:p w14:paraId="2398A6D6" w14:textId="77777777" w:rsidR="00C6618F" w:rsidRPr="006D4A77" w:rsidRDefault="00C6618F" w:rsidP="00C6618F">
      <w:pPr>
        <w:keepNext/>
        <w:keepLines/>
        <w:spacing w:before="120"/>
        <w:ind w:leftChars="-9" w:left="1400" w:hanging="1418"/>
        <w:outlineLvl w:val="3"/>
        <w:rPr>
          <w:rFonts w:eastAsia="MS Mincho"/>
          <w:sz w:val="24"/>
          <w:lang w:eastAsia="ja-JP"/>
        </w:rPr>
      </w:pPr>
      <w:r w:rsidRPr="006D4A77">
        <w:rPr>
          <w:sz w:val="24"/>
          <w:lang w:eastAsia="en-GB"/>
        </w:rPr>
        <w:t>8.2.x.1</w:t>
      </w:r>
      <w:r w:rsidRPr="006D4A77">
        <w:rPr>
          <w:sz w:val="24"/>
          <w:lang w:eastAsia="en-GB"/>
        </w:rPr>
        <w:tab/>
        <w:t>Intra-CU topology adaptation procedure in SA</w:t>
      </w:r>
    </w:p>
    <w:bookmarkEnd w:id="1"/>
    <w:p w14:paraId="3245280D" w14:textId="77777777" w:rsidR="00C6618F" w:rsidRPr="00C6618F" w:rsidRDefault="00C6618F" w:rsidP="00C6618F">
      <w:pPr>
        <w:rPr>
          <w:rFonts w:ascii="Times New Roman" w:hAnsi="Times New Roman"/>
          <w:lang w:eastAsia="ja-JP"/>
        </w:rPr>
      </w:pPr>
      <w:r w:rsidRPr="00C6618F">
        <w:rPr>
          <w:rFonts w:ascii="Times New Roman" w:hAnsi="Times New Roman"/>
          <w:lang w:eastAsia="ja-JP"/>
        </w:rPr>
        <w:t xml:space="preserve">During the intra-CU topology adaptation in SA, both the source and the target parent node are served by the same IAB-donor-CU. The target parent node may use a different IAB-donor-DU than the source parent node. The source path may further have common nodes with the target path. Figure 8.2.x.1-1 shows an example of the topology adaptation procedure, where the target parent node uses a different IAB-donor-DU than the one used by the source parent node. </w:t>
      </w:r>
      <w:r w:rsidRPr="00C6618F" w:rsidDel="003349E4">
        <w:rPr>
          <w:rFonts w:ascii="Times New Roman" w:hAnsi="Times New Roman"/>
          <w:lang w:eastAsia="ja-JP"/>
        </w:rPr>
        <w:t xml:space="preserve"> </w:t>
      </w:r>
    </w:p>
    <w:p w14:paraId="221E3911" w14:textId="77777777" w:rsidR="00C6618F" w:rsidRDefault="00C6618F" w:rsidP="00C6618F">
      <w:r>
        <w:object w:dxaOrig="12795" w:dyaOrig="9945" w14:anchorId="02464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4.5pt" o:ole="">
            <v:imagedata r:id="rId11" o:title=""/>
          </v:shape>
          <o:OLEObject Type="Embed" ProgID="Mscgen.Chart" ShapeID="_x0000_i1025" DrawAspect="Content" ObjectID="_1653457857" r:id="rId12"/>
        </w:object>
      </w:r>
    </w:p>
    <w:p w14:paraId="7C7FF972" w14:textId="77777777" w:rsidR="00C6618F" w:rsidRPr="00FC2DD7" w:rsidRDefault="00C6618F" w:rsidP="00C6618F">
      <w:pPr>
        <w:jc w:val="center"/>
        <w:rPr>
          <w:rFonts w:cs="Arial"/>
          <w:b/>
          <w:bCs/>
        </w:rPr>
      </w:pPr>
      <w:bookmarkStart w:id="2" w:name="OLE_LINK3"/>
      <w:bookmarkStart w:id="3" w:name="_Hlk16780442"/>
      <w:r w:rsidRPr="00FC2DD7">
        <w:rPr>
          <w:rFonts w:cs="Arial"/>
          <w:b/>
          <w:bCs/>
        </w:rPr>
        <w:t xml:space="preserve">Figure </w:t>
      </w:r>
      <w:r>
        <w:rPr>
          <w:rFonts w:cs="Arial"/>
          <w:b/>
          <w:bCs/>
        </w:rPr>
        <w:t>8</w:t>
      </w:r>
      <w:r w:rsidRPr="00FC2DD7">
        <w:rPr>
          <w:rFonts w:cs="Arial"/>
          <w:b/>
          <w:bCs/>
        </w:rPr>
        <w:t>.</w:t>
      </w:r>
      <w:r>
        <w:rPr>
          <w:rFonts w:cs="Arial"/>
          <w:b/>
          <w:bCs/>
        </w:rPr>
        <w:t>2.x.1-1</w:t>
      </w:r>
      <w:bookmarkEnd w:id="2"/>
      <w:r w:rsidRPr="00FC2DD7">
        <w:rPr>
          <w:rFonts w:cs="Arial"/>
          <w:b/>
          <w:bCs/>
        </w:rPr>
        <w:t xml:space="preserve">: IAB </w:t>
      </w:r>
      <w:r>
        <w:rPr>
          <w:rFonts w:cs="Arial"/>
          <w:b/>
          <w:bCs/>
        </w:rPr>
        <w:t>intra-CU topology adaptation procedure</w:t>
      </w:r>
    </w:p>
    <w:bookmarkEnd w:id="3"/>
    <w:p w14:paraId="54917410"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1.</w:t>
      </w:r>
      <w:r w:rsidRPr="00C6618F">
        <w:rPr>
          <w:rFonts w:ascii="Times New Roman" w:eastAsia="KaiTi" w:hAnsi="Times New Roman"/>
          <w:lang w:eastAsia="ko-KR"/>
        </w:rPr>
        <w:tab/>
      </w:r>
      <w:r w:rsidRPr="00C6618F">
        <w:rPr>
          <w:rFonts w:ascii="Times New Roman" w:hAnsi="Times New Roman"/>
        </w:rPr>
        <w:t>The migrating IAB-MT sends a</w:t>
      </w:r>
      <w:r w:rsidRPr="00C6618F">
        <w:rPr>
          <w:rFonts w:ascii="Times New Roman" w:hAnsi="Times New Roman"/>
          <w:i/>
        </w:rPr>
        <w:t xml:space="preserve"> MeasurementReport</w:t>
      </w:r>
      <w:r w:rsidRPr="00C6618F">
        <w:rPr>
          <w:rFonts w:ascii="Times New Roman" w:hAnsi="Times New Roman"/>
        </w:rPr>
        <w:t xml:space="preserve"> message to the source parent node IAB-DU. This report is based on a Measurement Configuration the migrating IAB-MT received from the IAB-donor-CU before.</w:t>
      </w:r>
    </w:p>
    <w:p w14:paraId="6B1E6825"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2.</w:t>
      </w:r>
      <w:r w:rsidRPr="00C6618F">
        <w:rPr>
          <w:rFonts w:ascii="Times New Roman" w:eastAsia="KaiTi" w:hAnsi="Times New Roman"/>
          <w:lang w:eastAsia="ko-KR"/>
        </w:rPr>
        <w:tab/>
      </w:r>
      <w:r w:rsidRPr="00C6618F">
        <w:rPr>
          <w:rFonts w:ascii="Times New Roman" w:hAnsi="Times New Roman"/>
        </w:rPr>
        <w:t xml:space="preserve">The source parent node IAB-DU sends an UL RRC MESSAGE TRANSFER message to the IAB-donor-CU to convey the received </w:t>
      </w:r>
      <w:r w:rsidRPr="00C6618F">
        <w:rPr>
          <w:rFonts w:ascii="Times New Roman" w:hAnsi="Times New Roman"/>
          <w:i/>
        </w:rPr>
        <w:t>MeasurementReport</w:t>
      </w:r>
      <w:r w:rsidRPr="00C6618F">
        <w:rPr>
          <w:rFonts w:ascii="Times New Roman" w:hAnsi="Times New Roman"/>
        </w:rPr>
        <w:t>.</w:t>
      </w:r>
    </w:p>
    <w:p w14:paraId="088E4795"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3.</w:t>
      </w:r>
      <w:r w:rsidRPr="00C6618F">
        <w:rPr>
          <w:rFonts w:ascii="Times New Roman" w:eastAsia="KaiTi" w:hAnsi="Times New Roman"/>
          <w:lang w:eastAsia="ko-KR"/>
        </w:rPr>
        <w:tab/>
      </w:r>
      <w:r w:rsidRPr="00C6618F">
        <w:rPr>
          <w:rFonts w:ascii="Times New Roman" w:hAnsi="Times New Roman"/>
        </w:rPr>
        <w:t>The IAB-donor-CU sends a UE CONTEXT SETUP REQUEST message to the target parent node IAB-DU to create the UE context for the migrating IAB-MT and setup one or more bearers. These bearers can be used by the migrating IAB-MT for its own signalling</w:t>
      </w:r>
      <w:r w:rsidRPr="00C6618F">
        <w:rPr>
          <w:rFonts w:ascii="Times New Roman" w:hAnsi="Times New Roman"/>
          <w:lang w:eastAsia="en-GB"/>
        </w:rPr>
        <w:t xml:space="preserve">, and, optionally, </w:t>
      </w:r>
      <w:r w:rsidRPr="00C6618F">
        <w:rPr>
          <w:rFonts w:ascii="Times New Roman" w:hAnsi="Times New Roman"/>
        </w:rPr>
        <w:t>data</w:t>
      </w:r>
      <w:del w:id="4" w:author="Ericsson User" w:date="2020-06-05T11:40:00Z">
        <w:r w:rsidRPr="00C6618F" w:rsidDel="00C6618F">
          <w:rPr>
            <w:rFonts w:ascii="Times New Roman" w:hAnsi="Times New Roman"/>
          </w:rPr>
          <w:delText xml:space="preserve"> and</w:delText>
        </w:r>
      </w:del>
      <w:r w:rsidRPr="00C6618F">
        <w:rPr>
          <w:rFonts w:ascii="Times New Roman" w:hAnsi="Times New Roman"/>
        </w:rPr>
        <w:t xml:space="preserve"> traffic. </w:t>
      </w:r>
    </w:p>
    <w:p w14:paraId="555CE795"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4.</w:t>
      </w:r>
      <w:r w:rsidRPr="00C6618F">
        <w:rPr>
          <w:rFonts w:ascii="Times New Roman" w:eastAsia="KaiTi" w:hAnsi="Times New Roman"/>
          <w:lang w:eastAsia="ko-KR"/>
        </w:rPr>
        <w:tab/>
      </w:r>
      <w:r w:rsidRPr="00C6618F">
        <w:rPr>
          <w:rFonts w:ascii="Times New Roman" w:hAnsi="Times New Roman"/>
        </w:rPr>
        <w:t>The target parent node IAB-DU responds to the IAB-donor-CU with a UE CONTEXT SETUP RESPONSE message.</w:t>
      </w:r>
    </w:p>
    <w:p w14:paraId="682D31C4"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5.</w:t>
      </w:r>
      <w:r w:rsidRPr="00C6618F">
        <w:rPr>
          <w:rFonts w:ascii="Times New Roman" w:eastAsia="KaiTi" w:hAnsi="Times New Roman"/>
          <w:lang w:eastAsia="ko-KR"/>
        </w:rPr>
        <w:tab/>
      </w:r>
      <w:r w:rsidRPr="00C6618F">
        <w:rPr>
          <w:rFonts w:ascii="Times New Roman" w:hAnsi="Times New Roman"/>
        </w:rPr>
        <w:t xml:space="preserve">The IAB-donor-CU sends a UE CONTEXT MODIFICATION REQUEST message to the source parent node IAB-DU, which includes a generated </w:t>
      </w:r>
      <w:r w:rsidRPr="00C6618F">
        <w:rPr>
          <w:rFonts w:ascii="Times New Roman" w:hAnsi="Times New Roman"/>
          <w:i/>
        </w:rPr>
        <w:t>RRCReconfiguration</w:t>
      </w:r>
      <w:r w:rsidRPr="00C6618F">
        <w:rPr>
          <w:rFonts w:ascii="Times New Roman" w:hAnsi="Times New Roman"/>
        </w:rPr>
        <w:t xml:space="preserve"> message. </w:t>
      </w:r>
      <w:r w:rsidRPr="00C6618F">
        <w:rPr>
          <w:rFonts w:ascii="Times New Roman" w:eastAsia="SimSun" w:hAnsi="Times New Roman"/>
          <w:lang w:val="en-US" w:eastAsia="zh-CN"/>
        </w:rPr>
        <w:t xml:space="preserve">The </w:t>
      </w:r>
      <w:r w:rsidRPr="00C6618F">
        <w:rPr>
          <w:rFonts w:ascii="Times New Roman" w:hAnsi="Times New Roman"/>
          <w:i/>
        </w:rPr>
        <w:t>RRCReconfiguration</w:t>
      </w:r>
      <w:r w:rsidRPr="00C6618F">
        <w:rPr>
          <w:rFonts w:ascii="Times New Roman" w:hAnsi="Times New Roman"/>
        </w:rPr>
        <w:t xml:space="preserve"> message</w:t>
      </w:r>
      <w:r w:rsidRPr="00C6618F">
        <w:rPr>
          <w:rFonts w:ascii="Times New Roman" w:eastAsia="SimSun" w:hAnsi="Times New Roman"/>
          <w:lang w:val="en-US" w:eastAsia="zh-CN"/>
        </w:rPr>
        <w:t xml:space="preserve"> includes a default BH RLC channel and a default BAP Routing ID configuration for UL F1-C traffic mapping on the target path. </w:t>
      </w:r>
      <w:r w:rsidRPr="00C6618F">
        <w:rPr>
          <w:rFonts w:ascii="Times New Roman" w:hAnsi="Times New Roman"/>
          <w:bCs/>
        </w:rPr>
        <w:t xml:space="preserve">This step may also include allocation of TNL address(es) that is (are) routable via the target IAB-donor-DU. The new TNL address(es) may be included in the </w:t>
      </w:r>
      <w:r w:rsidRPr="00C6618F">
        <w:rPr>
          <w:rFonts w:ascii="Times New Roman" w:hAnsi="Times New Roman"/>
          <w:i/>
        </w:rPr>
        <w:t>RRCReconfiguration</w:t>
      </w:r>
      <w:r w:rsidRPr="00C6618F">
        <w:rPr>
          <w:rFonts w:ascii="Times New Roman" w:hAnsi="Times New Roman"/>
        </w:rPr>
        <w:t xml:space="preserve"> message.</w:t>
      </w:r>
      <w:r w:rsidRPr="00C6618F">
        <w:rPr>
          <w:rFonts w:ascii="Times New Roman" w:eastAsia="SimSun" w:hAnsi="Times New Roman"/>
          <w:lang w:val="en-US" w:eastAsia="zh-CN"/>
        </w:rPr>
        <w:t xml:space="preserve"> </w:t>
      </w:r>
      <w:r w:rsidRPr="00C6618F">
        <w:rPr>
          <w:rFonts w:ascii="Times New Roman" w:hAnsi="Times New Roman"/>
        </w:rPr>
        <w:t xml:space="preserve">In case IPsec tunnel mode is used </w:t>
      </w:r>
      <w:r w:rsidRPr="00C6618F">
        <w:rPr>
          <w:rFonts w:ascii="Times New Roman" w:eastAsia="SimSun" w:hAnsi="Times New Roman"/>
          <w:lang w:eastAsia="zh-CN"/>
        </w:rPr>
        <w:t>to protect the F1 and non-F1 traffic</w:t>
      </w:r>
      <w:r w:rsidRPr="00C6618F">
        <w:rPr>
          <w:rFonts w:ascii="Times New Roman" w:hAnsi="Times New Roman"/>
        </w:rPr>
        <w:t>,</w:t>
      </w:r>
      <w:r w:rsidRPr="00C6618F">
        <w:rPr>
          <w:rFonts w:ascii="Times New Roman" w:eastAsia="SimSun" w:hAnsi="Times New Roman"/>
          <w:lang w:val="en-US" w:eastAsia="zh-CN"/>
        </w:rPr>
        <w:t xml:space="preserve"> the allocated TNL address is outer IP address. </w:t>
      </w:r>
      <w:r w:rsidRPr="00C6618F">
        <w:rPr>
          <w:rFonts w:ascii="Times New Roman" w:hAnsi="Times New Roman"/>
        </w:rPr>
        <w:t xml:space="preserve">The </w:t>
      </w:r>
      <w:r w:rsidRPr="00C6618F">
        <w:rPr>
          <w:rFonts w:ascii="Times New Roman" w:hAnsi="Times New Roman"/>
          <w:i/>
          <w:iCs/>
          <w:szCs w:val="22"/>
        </w:rPr>
        <w:t>Transmission Action Indicator</w:t>
      </w:r>
      <w:r w:rsidRPr="00C6618F">
        <w:rPr>
          <w:rFonts w:ascii="Times New Roman" w:hAnsi="Times New Roman"/>
        </w:rPr>
        <w:t xml:space="preserve"> in the UE CONTEXT MODIFICATION REQUEST message indicates to stop the data transmission to the migrating IAB-node.</w:t>
      </w:r>
    </w:p>
    <w:p w14:paraId="28DB28F6"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6.</w:t>
      </w:r>
      <w:r w:rsidRPr="00C6618F">
        <w:rPr>
          <w:rFonts w:ascii="Times New Roman" w:eastAsia="KaiTi" w:hAnsi="Times New Roman"/>
          <w:lang w:eastAsia="ko-KR"/>
        </w:rPr>
        <w:tab/>
      </w:r>
      <w:r w:rsidRPr="00C6618F">
        <w:rPr>
          <w:rFonts w:ascii="Times New Roman" w:hAnsi="Times New Roman"/>
        </w:rPr>
        <w:t xml:space="preserve">The source parent node IAB-DU forwards the received </w:t>
      </w:r>
      <w:r w:rsidRPr="00C6618F">
        <w:rPr>
          <w:rFonts w:ascii="Times New Roman" w:hAnsi="Times New Roman"/>
          <w:i/>
        </w:rPr>
        <w:t>RRCReconfiguration</w:t>
      </w:r>
      <w:r w:rsidRPr="00C6618F">
        <w:rPr>
          <w:rFonts w:ascii="Times New Roman" w:hAnsi="Times New Roman"/>
        </w:rPr>
        <w:t xml:space="preserve"> message to the migrating IAB-MT.</w:t>
      </w:r>
    </w:p>
    <w:p w14:paraId="7ABF2966"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7.</w:t>
      </w:r>
      <w:r w:rsidRPr="00C6618F">
        <w:rPr>
          <w:rFonts w:ascii="Times New Roman" w:eastAsia="KaiTi" w:hAnsi="Times New Roman"/>
          <w:lang w:eastAsia="ko-KR"/>
        </w:rPr>
        <w:tab/>
      </w:r>
      <w:r w:rsidRPr="00C6618F">
        <w:rPr>
          <w:rFonts w:ascii="Times New Roman" w:hAnsi="Times New Roman"/>
        </w:rPr>
        <w:t>The source parent node IAB-DU responds to the IAB-donor-CU with the UE CONTEXT MODIFICATION RESPONSE message.</w:t>
      </w:r>
    </w:p>
    <w:p w14:paraId="12A42B90"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8.</w:t>
      </w:r>
      <w:r w:rsidRPr="00C6618F">
        <w:rPr>
          <w:rFonts w:ascii="Times New Roman" w:eastAsia="KaiTi" w:hAnsi="Times New Roman"/>
          <w:lang w:eastAsia="ko-KR"/>
        </w:rPr>
        <w:tab/>
      </w:r>
      <w:r w:rsidRPr="00C6618F">
        <w:rPr>
          <w:rFonts w:ascii="Times New Roman" w:hAnsi="Times New Roman"/>
        </w:rPr>
        <w:t>A Random Access procedure is performed at the target parent node IAB-DU.</w:t>
      </w:r>
    </w:p>
    <w:p w14:paraId="3F27F061"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lastRenderedPageBreak/>
        <w:t>9.</w:t>
      </w:r>
      <w:r w:rsidRPr="00C6618F">
        <w:rPr>
          <w:rFonts w:ascii="Times New Roman" w:eastAsia="KaiTi" w:hAnsi="Times New Roman"/>
          <w:lang w:eastAsia="ko-KR"/>
        </w:rPr>
        <w:tab/>
      </w:r>
      <w:r w:rsidRPr="00C6618F">
        <w:rPr>
          <w:rFonts w:ascii="Times New Roman" w:hAnsi="Times New Roman"/>
        </w:rPr>
        <w:t xml:space="preserve">The migrating IAB-MT responds to the target parent node IAB-DU with an </w:t>
      </w:r>
      <w:r w:rsidRPr="00C6618F">
        <w:rPr>
          <w:rFonts w:ascii="Times New Roman" w:hAnsi="Times New Roman"/>
          <w:i/>
        </w:rPr>
        <w:t>RRCReconfigurationComplete</w:t>
      </w:r>
      <w:r w:rsidRPr="00C6618F">
        <w:rPr>
          <w:rFonts w:ascii="Times New Roman" w:hAnsi="Times New Roman"/>
        </w:rPr>
        <w:t xml:space="preserve"> message.</w:t>
      </w:r>
    </w:p>
    <w:p w14:paraId="7A3D947F"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10.</w:t>
      </w:r>
      <w:r w:rsidRPr="00C6618F">
        <w:rPr>
          <w:rFonts w:ascii="Times New Roman" w:eastAsia="KaiTi" w:hAnsi="Times New Roman"/>
          <w:lang w:eastAsia="ko-KR"/>
        </w:rPr>
        <w:tab/>
      </w:r>
      <w:r w:rsidRPr="00C6618F">
        <w:rPr>
          <w:rFonts w:ascii="Times New Roman" w:hAnsi="Times New Roman"/>
        </w:rPr>
        <w:t xml:space="preserve">The target parent node IAB-DU sends an UL RRC MESSAGE TRANSFER message to the IAB-donor-CU to convey the received </w:t>
      </w:r>
      <w:r w:rsidRPr="00C6618F">
        <w:rPr>
          <w:rFonts w:ascii="Times New Roman" w:hAnsi="Times New Roman"/>
          <w:i/>
        </w:rPr>
        <w:t>RRCReconfigurationComplete</w:t>
      </w:r>
      <w:r w:rsidRPr="00C6618F">
        <w:rPr>
          <w:rFonts w:ascii="Times New Roman" w:hAnsi="Times New Roman"/>
        </w:rPr>
        <w:t xml:space="preserve"> message. Also, uplink packets can be sent from the migrating IAB-MT, which are forwarded to the IAB-donor-CU through the target parent node IAB-DU. These UL packets belong to the IAB-MT’s own signalling and, optionally, data traffic.</w:t>
      </w:r>
    </w:p>
    <w:p w14:paraId="2776D57B" w14:textId="77777777" w:rsidR="00C6618F" w:rsidRPr="00C6618F" w:rsidRDefault="00C6618F" w:rsidP="00C6618F">
      <w:pPr>
        <w:pStyle w:val="B10"/>
        <w:rPr>
          <w:rFonts w:ascii="Times New Roman" w:hAnsi="Times New Roman"/>
          <w:bCs/>
        </w:rPr>
      </w:pPr>
      <w:r w:rsidRPr="00C6618F">
        <w:rPr>
          <w:rFonts w:ascii="Times New Roman" w:eastAsia="KaiTi" w:hAnsi="Times New Roman"/>
          <w:bCs/>
          <w:lang w:eastAsia="ko-KR"/>
        </w:rPr>
        <w:t>11.</w:t>
      </w:r>
      <w:r w:rsidRPr="00C6618F">
        <w:rPr>
          <w:rFonts w:ascii="Times New Roman" w:eastAsia="KaiTi" w:hAnsi="Times New Roman"/>
          <w:bCs/>
          <w:lang w:eastAsia="ko-KR"/>
        </w:rPr>
        <w:tab/>
      </w:r>
      <w:r w:rsidRPr="00C6618F">
        <w:rPr>
          <w:rFonts w:ascii="Times New Roman" w:hAnsi="Times New Roman"/>
          <w:bCs/>
        </w:rPr>
        <w:t xml:space="preserve">The </w:t>
      </w:r>
      <w:r w:rsidRPr="00C6618F">
        <w:rPr>
          <w:rFonts w:ascii="Times New Roman" w:hAnsi="Times New Roman"/>
        </w:rPr>
        <w:t>IAB-donor-CU</w:t>
      </w:r>
      <w:r w:rsidRPr="00C6618F">
        <w:rPr>
          <w:rFonts w:ascii="Times New Roman" w:hAnsi="Times New Roman"/>
          <w:bCs/>
        </w:rPr>
        <w:t xml:space="preserve"> configures BH RLC channels and BAP-layer route entries on the target path between the target parent IAB-node and target IAB-donor-DU. </w:t>
      </w:r>
      <w:r w:rsidRPr="00C6618F">
        <w:rPr>
          <w:rFonts w:ascii="Times New Roman" w:eastAsia="SimSun" w:hAnsi="Times New Roman"/>
          <w:lang w:val="en-US" w:eastAsia="zh-CN"/>
        </w:rPr>
        <w:t>The IAB-donor-CU may establish additional (non-default) BH RLC channels to the migrating IAB-MT via RRC message</w:t>
      </w:r>
      <w:r w:rsidRPr="00C6618F">
        <w:rPr>
          <w:rFonts w:ascii="Times New Roman" w:eastAsia="SimSun" w:hAnsi="Times New Roman"/>
          <w:sz w:val="21"/>
          <w:szCs w:val="22"/>
          <w:lang w:val="en-US" w:eastAsia="zh-CN"/>
        </w:rPr>
        <w:t>.</w:t>
      </w:r>
      <w:r w:rsidRPr="00C6618F">
        <w:rPr>
          <w:rFonts w:ascii="Times New Roman" w:hAnsi="Times New Roman"/>
          <w:bCs/>
        </w:rPr>
        <w:t xml:space="preserve"> These configurations may be performed at an earlier stage, e.g. immediately after step 3. </w:t>
      </w:r>
    </w:p>
    <w:p w14:paraId="14E8A794" w14:textId="77777777" w:rsidR="00C6618F" w:rsidRPr="00C6618F" w:rsidRDefault="00C6618F" w:rsidP="00C6618F">
      <w:pPr>
        <w:pStyle w:val="B10"/>
        <w:rPr>
          <w:rFonts w:ascii="Times New Roman" w:hAnsi="Times New Roman"/>
          <w:bCs/>
        </w:rPr>
      </w:pPr>
      <w:r w:rsidRPr="00C6618F">
        <w:rPr>
          <w:rFonts w:ascii="Times New Roman" w:eastAsia="KaiTi" w:hAnsi="Times New Roman"/>
          <w:bCs/>
          <w:lang w:eastAsia="ko-KR"/>
        </w:rPr>
        <w:t>12.</w:t>
      </w:r>
      <w:r w:rsidRPr="00C6618F">
        <w:rPr>
          <w:rFonts w:ascii="Times New Roman" w:eastAsia="KaiTi" w:hAnsi="Times New Roman"/>
          <w:bCs/>
          <w:lang w:eastAsia="ko-KR"/>
        </w:rPr>
        <w:tab/>
        <w:t xml:space="preserve">The </w:t>
      </w:r>
      <w:r w:rsidRPr="00C6618F">
        <w:rPr>
          <w:rFonts w:ascii="Times New Roman" w:hAnsi="Times New Roman"/>
        </w:rPr>
        <w:t>F1-C connections are switched to use the migrating IAB-node’s new TNL address(es)</w:t>
      </w:r>
      <w:r w:rsidRPr="00C6618F">
        <w:rPr>
          <w:rFonts w:ascii="Times New Roman" w:eastAsia="SimSun" w:hAnsi="Times New Roman"/>
          <w:lang w:val="en-US" w:eastAsia="zh-CN"/>
        </w:rPr>
        <w:t>, IAB-donor-CU updates the UL BH information associated to each GTP-tunnel to migrating IAB-node. This step may also update UL FTEID and DL FTEID associated to each GTP-tunnel. A</w:t>
      </w:r>
      <w:r w:rsidRPr="00C6618F">
        <w:rPr>
          <w:rFonts w:ascii="Times New Roman" w:hAnsi="Times New Roman"/>
        </w:rPr>
        <w:t xml:space="preserve">ll F1-U tunnels are switched to use the migrating IAB-node’s new TNL address(es). </w:t>
      </w:r>
    </w:p>
    <w:p w14:paraId="3C718EB7"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13.</w:t>
      </w:r>
      <w:r w:rsidRPr="00C6618F">
        <w:rPr>
          <w:rFonts w:ascii="Times New Roman" w:eastAsia="KaiTi" w:hAnsi="Times New Roman"/>
          <w:lang w:eastAsia="ko-KR"/>
        </w:rPr>
        <w:tab/>
      </w:r>
      <w:r w:rsidRPr="00C6618F">
        <w:rPr>
          <w:rFonts w:ascii="Times New Roman" w:hAnsi="Times New Roman"/>
        </w:rPr>
        <w:t>The IAB-donor-CU sends a UE CONTEXT RELEASE COMMAND message to the source parent node IAB-DU.</w:t>
      </w:r>
    </w:p>
    <w:p w14:paraId="6B7CD3ED" w14:textId="77777777" w:rsidR="00C6618F" w:rsidRPr="00C6618F" w:rsidRDefault="00C6618F" w:rsidP="00C6618F">
      <w:pPr>
        <w:pStyle w:val="B10"/>
        <w:rPr>
          <w:rFonts w:ascii="Times New Roman" w:hAnsi="Times New Roman"/>
        </w:rPr>
      </w:pPr>
      <w:r w:rsidRPr="00C6618F">
        <w:rPr>
          <w:rFonts w:ascii="Times New Roman" w:eastAsia="KaiTi" w:hAnsi="Times New Roman"/>
          <w:lang w:eastAsia="ko-KR"/>
        </w:rPr>
        <w:t>14.</w:t>
      </w:r>
      <w:r w:rsidRPr="00C6618F">
        <w:rPr>
          <w:rFonts w:ascii="Times New Roman" w:eastAsia="KaiTi" w:hAnsi="Times New Roman"/>
          <w:lang w:eastAsia="ko-KR"/>
        </w:rPr>
        <w:tab/>
      </w:r>
      <w:r w:rsidRPr="00C6618F">
        <w:rPr>
          <w:rFonts w:ascii="Times New Roman" w:hAnsi="Times New Roman"/>
        </w:rPr>
        <w:t>The source parent node IAB-DU releases the migrating IAB-MT’s context and responds to the IAB-donor-CU with a UE CONTEXT RELEASE COMPLETE message.</w:t>
      </w:r>
    </w:p>
    <w:p w14:paraId="2EDB15F2" w14:textId="77777777" w:rsidR="00C6618F" w:rsidRPr="00C6618F" w:rsidRDefault="00C6618F" w:rsidP="00C6618F">
      <w:pPr>
        <w:pStyle w:val="B10"/>
        <w:rPr>
          <w:rFonts w:ascii="Times New Roman" w:hAnsi="Times New Roman"/>
        </w:rPr>
      </w:pPr>
      <w:r w:rsidRPr="00C6618F">
        <w:rPr>
          <w:rFonts w:ascii="Times New Roman" w:eastAsia="KaiTi" w:hAnsi="Times New Roman"/>
          <w:bCs/>
          <w:lang w:eastAsia="ko-KR"/>
        </w:rPr>
        <w:t>15.</w:t>
      </w:r>
      <w:r w:rsidRPr="00C6618F">
        <w:rPr>
          <w:rFonts w:ascii="Times New Roman" w:eastAsia="KaiTi" w:hAnsi="Times New Roman"/>
          <w:bCs/>
          <w:lang w:eastAsia="ko-KR"/>
        </w:rPr>
        <w:tab/>
      </w:r>
      <w:r w:rsidRPr="00C6618F">
        <w:rPr>
          <w:rFonts w:ascii="Times New Roman" w:hAnsi="Times New Roman"/>
        </w:rPr>
        <w:t xml:space="preserve">The IAB-donor-CU releases BH RLC channels and BAP routing entries on the source path. The migrating IAB-node may further release the TNL address(es) that it has used on the source path.   </w:t>
      </w:r>
    </w:p>
    <w:p w14:paraId="25E5BFA7" w14:textId="77777777" w:rsidR="00C6618F" w:rsidRPr="00C6618F" w:rsidRDefault="00C6618F" w:rsidP="00C6618F">
      <w:pPr>
        <w:pStyle w:val="NO"/>
        <w:adjustRightInd w:val="0"/>
        <w:textAlignment w:val="baseline"/>
        <w:rPr>
          <w:rFonts w:ascii="Times New Roman" w:hAnsi="Times New Roman"/>
          <w:bCs/>
          <w:lang w:eastAsia="zh-CN"/>
        </w:rPr>
      </w:pPr>
      <w:r w:rsidRPr="00C6618F">
        <w:rPr>
          <w:rFonts w:ascii="Times New Roman" w:hAnsi="Times New Roman"/>
        </w:rPr>
        <w:t>NOTE</w:t>
      </w:r>
      <w:r w:rsidRPr="00C6618F">
        <w:rPr>
          <w:rFonts w:ascii="Times New Roman" w:hAnsi="Times New Roman"/>
          <w:bCs/>
          <w:lang w:eastAsia="zh-CN"/>
        </w:rPr>
        <w:t xml:space="preserve">:     In case that the source route and target route have common nodes, the BH RLC channels and BAP </w:t>
      </w:r>
      <w:r w:rsidRPr="00C6618F">
        <w:rPr>
          <w:rFonts w:ascii="Times New Roman" w:hAnsi="Times New Roman"/>
        </w:rPr>
        <w:t>routing</w:t>
      </w:r>
      <w:r w:rsidRPr="00C6618F">
        <w:rPr>
          <w:rFonts w:ascii="Times New Roman" w:hAnsi="Times New Roman"/>
          <w:bCs/>
          <w:lang w:eastAsia="zh-CN"/>
        </w:rPr>
        <w:t xml:space="preserve"> entries of those nodes may not need to be released in Step 15. </w:t>
      </w:r>
    </w:p>
    <w:p w14:paraId="79F6423B" w14:textId="77777777" w:rsidR="00C6618F" w:rsidRPr="00C6618F" w:rsidRDefault="00C6618F" w:rsidP="00C6618F">
      <w:pPr>
        <w:pStyle w:val="NO"/>
        <w:adjustRightInd w:val="0"/>
        <w:textAlignment w:val="baseline"/>
        <w:rPr>
          <w:rFonts w:ascii="Times New Roman" w:hAnsi="Times New Roman"/>
          <w:bCs/>
          <w:lang w:eastAsia="ko-KR"/>
        </w:rPr>
      </w:pPr>
      <w:r w:rsidRPr="00C6618F">
        <w:rPr>
          <w:rFonts w:ascii="Times New Roman" w:hAnsi="Times New Roman"/>
        </w:rPr>
        <w:t>NOTE</w:t>
      </w:r>
      <w:r w:rsidRPr="00C6618F">
        <w:rPr>
          <w:rFonts w:ascii="Times New Roman" w:hAnsi="Times New Roman"/>
          <w:bCs/>
          <w:lang w:eastAsia="zh-CN"/>
        </w:rPr>
        <w:t xml:space="preserve">:   </w:t>
      </w:r>
      <w:r w:rsidRPr="00C6618F">
        <w:rPr>
          <w:rFonts w:ascii="Times New Roman" w:hAnsi="Times New Roman"/>
          <w:bCs/>
          <w:lang w:eastAsia="ko-KR"/>
        </w:rPr>
        <w:t>Steps 11, 12 and 15 should also be performed for the migrating IAB-node’s descendant nodes, as follows:</w:t>
      </w:r>
    </w:p>
    <w:p w14:paraId="7757C618" w14:textId="77777777" w:rsidR="00C6618F" w:rsidRPr="00C6618F" w:rsidRDefault="00C6618F" w:rsidP="00C6618F">
      <w:pPr>
        <w:pStyle w:val="ListParagraph"/>
        <w:numPr>
          <w:ilvl w:val="0"/>
          <w:numId w:val="31"/>
        </w:numPr>
        <w:overflowPunct/>
        <w:autoSpaceDE/>
        <w:autoSpaceDN/>
        <w:adjustRightInd/>
        <w:spacing w:before="60"/>
        <w:ind w:left="1021" w:hanging="227"/>
        <w:contextualSpacing w:val="0"/>
        <w:jc w:val="left"/>
        <w:textAlignment w:val="auto"/>
        <w:rPr>
          <w:rFonts w:ascii="Times New Roman" w:hAnsi="Times New Roman"/>
          <w:lang w:eastAsia="ja-JP"/>
        </w:rPr>
      </w:pPr>
      <w:r w:rsidRPr="00C6618F">
        <w:rPr>
          <w:rFonts w:ascii="Times New Roman" w:hAnsi="Times New Roman"/>
          <w:lang w:eastAsia="ja-JP"/>
        </w:rPr>
        <w:t>The descendant nodes must also switch to new TNL addresses that are anchored in the target IAB-donor-DU. The IAB-donor-CU may send these addresses to the descendant nodes and release the old addresses via corresponding RRC signalling.</w:t>
      </w:r>
    </w:p>
    <w:p w14:paraId="7D577FE0" w14:textId="77777777" w:rsidR="00C6618F" w:rsidRPr="00C6618F" w:rsidRDefault="00C6618F" w:rsidP="00C6618F">
      <w:pPr>
        <w:pStyle w:val="ListParagraph"/>
        <w:numPr>
          <w:ilvl w:val="0"/>
          <w:numId w:val="31"/>
        </w:numPr>
        <w:overflowPunct/>
        <w:autoSpaceDE/>
        <w:autoSpaceDN/>
        <w:adjustRightInd/>
        <w:spacing w:before="60"/>
        <w:ind w:left="1021" w:hanging="227"/>
        <w:contextualSpacing w:val="0"/>
        <w:jc w:val="left"/>
        <w:textAlignment w:val="auto"/>
        <w:rPr>
          <w:rFonts w:ascii="Times New Roman" w:hAnsi="Times New Roman"/>
          <w:lang w:eastAsia="ja-JP"/>
        </w:rPr>
      </w:pPr>
      <w:r w:rsidRPr="00C6618F">
        <w:rPr>
          <w:rFonts w:ascii="Times New Roman" w:hAnsi="Times New Roman"/>
        </w:rPr>
        <w:t>If needed, t</w:t>
      </w:r>
      <w:r w:rsidRPr="00C6618F">
        <w:rPr>
          <w:rFonts w:ascii="Times New Roman" w:hAnsi="Times New Roman"/>
          <w:lang w:eastAsia="ja-JP"/>
        </w:rPr>
        <w:t xml:space="preserve">he IAB-donor-CU configures BH RLC channels, BAP-layer route entries on the target path for the descendant nodes and the BH RLC channel mappings on the descendant nodes in the same manner as described for the migrating IAB-node in step 11. </w:t>
      </w:r>
    </w:p>
    <w:p w14:paraId="20D1A9A4" w14:textId="77777777" w:rsidR="00C6618F" w:rsidRPr="00C6618F" w:rsidRDefault="00C6618F" w:rsidP="00C6618F">
      <w:pPr>
        <w:pStyle w:val="ListParagraph"/>
        <w:numPr>
          <w:ilvl w:val="0"/>
          <w:numId w:val="31"/>
        </w:numPr>
        <w:overflowPunct/>
        <w:autoSpaceDE/>
        <w:autoSpaceDN/>
        <w:adjustRightInd/>
        <w:spacing w:before="60"/>
        <w:ind w:left="1021" w:hanging="227"/>
        <w:contextualSpacing w:val="0"/>
        <w:jc w:val="left"/>
        <w:textAlignment w:val="auto"/>
        <w:rPr>
          <w:rFonts w:ascii="Times New Roman" w:hAnsi="Times New Roman"/>
          <w:lang w:eastAsia="ja-JP"/>
        </w:rPr>
      </w:pPr>
      <w:r w:rsidRPr="00C6618F">
        <w:rPr>
          <w:rFonts w:ascii="Times New Roman" w:hAnsi="Times New Roman"/>
          <w:lang w:eastAsia="ja-JP"/>
        </w:rPr>
        <w:t>The descendant nodes switch their F1-U and F1-C tunnels to new TNL addresses that are anchored at the new IAB-donor-DU, in the same manner as described for the migrating IAB-node in step 12.</w:t>
      </w:r>
    </w:p>
    <w:p w14:paraId="2665B665" w14:textId="77777777" w:rsidR="00C6618F" w:rsidRPr="00C6618F" w:rsidRDefault="00C6618F" w:rsidP="00C6618F">
      <w:pPr>
        <w:pStyle w:val="ListParagraph"/>
        <w:numPr>
          <w:ilvl w:val="0"/>
          <w:numId w:val="31"/>
        </w:numPr>
        <w:spacing w:before="60"/>
        <w:ind w:left="1021" w:hanging="227"/>
        <w:contextualSpacing w:val="0"/>
        <w:jc w:val="left"/>
        <w:rPr>
          <w:rFonts w:ascii="Times New Roman" w:hAnsi="Times New Roman"/>
          <w:lang w:eastAsia="ja-JP"/>
        </w:rPr>
      </w:pPr>
      <w:r w:rsidRPr="00C6618F">
        <w:rPr>
          <w:rFonts w:ascii="Times New Roman" w:hAnsi="Times New Roman"/>
          <w:lang w:eastAsia="ja-JP"/>
        </w:rPr>
        <w:t xml:space="preserve">Based on implementation, these steps can be performed after or </w:t>
      </w:r>
      <w:r w:rsidRPr="00C6618F">
        <w:rPr>
          <w:rFonts w:ascii="Times New Roman" w:hAnsi="Times New Roman"/>
        </w:rPr>
        <w:t>in parallel with</w:t>
      </w:r>
      <w:r w:rsidRPr="00C6618F">
        <w:rPr>
          <w:rFonts w:ascii="Times New Roman" w:hAnsi="Times New Roman"/>
          <w:lang w:eastAsia="ja-JP"/>
        </w:rPr>
        <w:t xml:space="preserve"> the handover of the migrating IAB-node. </w:t>
      </w:r>
    </w:p>
    <w:p w14:paraId="271314EA" w14:textId="77777777" w:rsidR="00C6618F" w:rsidRPr="00C6618F" w:rsidRDefault="00C6618F" w:rsidP="00C6618F">
      <w:pPr>
        <w:pStyle w:val="NO"/>
        <w:adjustRightInd w:val="0"/>
        <w:textAlignment w:val="baseline"/>
        <w:rPr>
          <w:rFonts w:ascii="Times New Roman" w:hAnsi="Times New Roman"/>
          <w:bCs/>
          <w:i/>
          <w:iCs/>
          <w:lang w:eastAsia="ko-KR"/>
        </w:rPr>
      </w:pPr>
      <w:r w:rsidRPr="00C6618F">
        <w:rPr>
          <w:rFonts w:ascii="Times New Roman" w:hAnsi="Times New Roman"/>
        </w:rPr>
        <w:t>NOTE</w:t>
      </w:r>
      <w:r w:rsidRPr="00C6618F">
        <w:rPr>
          <w:rFonts w:ascii="Times New Roman" w:hAnsi="Times New Roman"/>
          <w:bCs/>
        </w:rPr>
        <w:t xml:space="preserve">:     </w:t>
      </w:r>
      <w:r w:rsidRPr="00C6618F">
        <w:rPr>
          <w:rFonts w:ascii="Times New Roman" w:hAnsi="Times New Roman"/>
          <w:bCs/>
          <w:lang w:eastAsia="ko-KR"/>
        </w:rPr>
        <w:t xml:space="preserve">In upstream direction, in-flight packets between the source parent node and the IAB-donor-CU can be delivered even after the target path is established. </w:t>
      </w:r>
    </w:p>
    <w:p w14:paraId="22160EC8" w14:textId="77777777" w:rsidR="00C6618F" w:rsidRPr="00C6618F" w:rsidRDefault="00C6618F" w:rsidP="00C6618F">
      <w:pPr>
        <w:pStyle w:val="NO"/>
        <w:rPr>
          <w:rFonts w:ascii="Times New Roman" w:hAnsi="Times New Roman"/>
        </w:rPr>
      </w:pPr>
      <w:r w:rsidRPr="00C6618F">
        <w:rPr>
          <w:rFonts w:ascii="Times New Roman" w:hAnsi="Times New Roman"/>
        </w:rPr>
        <w:t>NOTE:</w:t>
      </w:r>
      <w:r w:rsidRPr="00C6618F">
        <w:rPr>
          <w:rFonts w:ascii="Times New Roman" w:hAnsi="Times New Roman"/>
        </w:rPr>
        <w:tab/>
        <w:t>In-flight downlink data in the source path may be discarded, up to implementation.</w:t>
      </w:r>
    </w:p>
    <w:p w14:paraId="4341C3DB" w14:textId="77777777" w:rsidR="00C6618F" w:rsidRPr="00C6618F" w:rsidRDefault="00C6618F" w:rsidP="00C6618F">
      <w:pPr>
        <w:pStyle w:val="NO"/>
        <w:adjustRightInd w:val="0"/>
        <w:textAlignment w:val="baseline"/>
        <w:rPr>
          <w:rFonts w:ascii="Times New Roman" w:hAnsi="Times New Roman"/>
        </w:rPr>
      </w:pPr>
      <w:r w:rsidRPr="00C6618F">
        <w:rPr>
          <w:rFonts w:ascii="Times New Roman" w:hAnsi="Times New Roman"/>
        </w:rPr>
        <w:t>NOTE:     The IAB-donor-CU can determine the unsuccessfully transmitted downlink data over the backhaul link by implementation.</w:t>
      </w:r>
    </w:p>
    <w:p w14:paraId="42BCA686" w14:textId="51A9CB31" w:rsidR="00006476" w:rsidRPr="00006476" w:rsidRDefault="00006476" w:rsidP="00006476">
      <w:pPr>
        <w:jc w:val="center"/>
        <w:rPr>
          <w:highlight w:val="yellow"/>
        </w:rPr>
      </w:pPr>
      <w:r w:rsidRPr="00B82522">
        <w:rPr>
          <w:highlight w:val="yellow"/>
        </w:rPr>
        <w:t>-------------------------------------------</w:t>
      </w:r>
      <w:r>
        <w:rPr>
          <w:highlight w:val="yellow"/>
        </w:rPr>
        <w:t>C</w:t>
      </w:r>
      <w:bookmarkStart w:id="5" w:name="_GoBack"/>
      <w:bookmarkEnd w:id="5"/>
      <w:r w:rsidRPr="00B82522">
        <w:rPr>
          <w:highlight w:val="yellow"/>
        </w:rPr>
        <w:t>hange</w:t>
      </w:r>
      <w:r>
        <w:rPr>
          <w:highlight w:val="yellow"/>
        </w:rPr>
        <w:t xml:space="preserve"> 2</w:t>
      </w:r>
      <w:r w:rsidRPr="00B82522">
        <w:rPr>
          <w:highlight w:val="yellow"/>
        </w:rPr>
        <w:t>-------------------------------------------</w:t>
      </w:r>
    </w:p>
    <w:p w14:paraId="1A7A970F" w14:textId="77777777" w:rsidR="00C6618F" w:rsidRPr="0036319F" w:rsidRDefault="00C6618F" w:rsidP="00C6618F">
      <w:pPr>
        <w:pStyle w:val="B10"/>
        <w:rPr>
          <w:sz w:val="24"/>
        </w:rPr>
      </w:pPr>
    </w:p>
    <w:p w14:paraId="1A619167" w14:textId="77777777" w:rsidR="00C6618F" w:rsidRDefault="00C6618F" w:rsidP="00C6618F">
      <w:pPr>
        <w:pStyle w:val="Heading2"/>
        <w:numPr>
          <w:ilvl w:val="0"/>
          <w:numId w:val="0"/>
        </w:numPr>
        <w:ind w:left="576" w:hanging="576"/>
      </w:pPr>
      <w:bookmarkStart w:id="6" w:name="OLE_LINK18"/>
      <w:r>
        <w:t>8.z</w:t>
      </w:r>
      <w:r>
        <w:tab/>
        <w:t>IAB-node Integration Procedure</w:t>
      </w:r>
    </w:p>
    <w:p w14:paraId="2C13D01F" w14:textId="77777777" w:rsidR="00C6618F" w:rsidRPr="00FF178A" w:rsidRDefault="00C6618F" w:rsidP="00C6618F">
      <w:pPr>
        <w:pStyle w:val="Heading3"/>
        <w:numPr>
          <w:ilvl w:val="0"/>
          <w:numId w:val="0"/>
        </w:numPr>
        <w:ind w:left="720" w:hanging="720"/>
        <w:rPr>
          <w:rFonts w:eastAsia="SimSun"/>
        </w:rPr>
      </w:pPr>
      <w:bookmarkStart w:id="7" w:name="_Toc13919137"/>
      <w:r w:rsidRPr="00FF178A">
        <w:rPr>
          <w:rFonts w:eastAsia="SimSun" w:hint="eastAsia"/>
        </w:rPr>
        <w:t>8.</w:t>
      </w:r>
      <w:r>
        <w:rPr>
          <w:rFonts w:eastAsia="SimSun"/>
        </w:rPr>
        <w:t>z</w:t>
      </w:r>
      <w:r w:rsidRPr="00FF178A">
        <w:rPr>
          <w:rFonts w:eastAsia="SimSun" w:hint="eastAsia"/>
        </w:rPr>
        <w:t>.1</w:t>
      </w:r>
      <w:r w:rsidRPr="00FF178A">
        <w:rPr>
          <w:rFonts w:eastAsia="SimSun" w:hint="eastAsia"/>
        </w:rPr>
        <w:tab/>
      </w:r>
      <w:bookmarkEnd w:id="7"/>
      <w:r>
        <w:rPr>
          <w:rFonts w:eastAsia="SimSun"/>
        </w:rPr>
        <w:t>Standalone IAB integration</w:t>
      </w:r>
    </w:p>
    <w:p w14:paraId="0F23F57B" w14:textId="77777777" w:rsidR="00C6618F" w:rsidRPr="00C6618F" w:rsidRDefault="00C6618F" w:rsidP="00C6618F">
      <w:pPr>
        <w:rPr>
          <w:rFonts w:ascii="Times New Roman" w:eastAsia="KaiTi" w:hAnsi="Times New Roman"/>
          <w:lang w:eastAsia="ko-KR"/>
        </w:rPr>
      </w:pPr>
      <w:r w:rsidRPr="00C6618F">
        <w:rPr>
          <w:rFonts w:ascii="Times New Roman" w:hAnsi="Times New Roman"/>
        </w:rPr>
        <w:t>A high-level flow chart for SA-based IAB integration is shown in the Figure 8.z-1</w:t>
      </w:r>
      <w:r w:rsidRPr="00C6618F">
        <w:rPr>
          <w:rFonts w:ascii="Times New Roman" w:eastAsia="KaiTi" w:hAnsi="Times New Roman"/>
          <w:lang w:eastAsia="ko-KR"/>
        </w:rPr>
        <w:t>:</w:t>
      </w:r>
    </w:p>
    <w:p w14:paraId="718D1658" w14:textId="77777777" w:rsidR="00C6618F" w:rsidRDefault="00C6618F" w:rsidP="00C6618F">
      <w:pPr>
        <w:pStyle w:val="TH"/>
        <w:rPr>
          <w:rFonts w:eastAsia="Wingdings"/>
        </w:rPr>
      </w:pPr>
      <w:r>
        <w:object w:dxaOrig="8340" w:dyaOrig="4080" w14:anchorId="395AEA1A">
          <v:shape id="_x0000_i1031" type="#_x0000_t75" style="width:417pt;height:204pt" o:ole="">
            <v:imagedata r:id="rId13" o:title=""/>
          </v:shape>
          <o:OLEObject Type="Embed" ProgID="Mscgen.Chart" ShapeID="_x0000_i1031" DrawAspect="Content" ObjectID="_1653457858" r:id="rId14"/>
        </w:object>
      </w:r>
      <w:r w:rsidRPr="00E23CFA" w:rsidDel="00B168AC">
        <w:t xml:space="preserve"> </w:t>
      </w:r>
    </w:p>
    <w:p w14:paraId="4C9F23AE" w14:textId="77777777" w:rsidR="00C6618F" w:rsidRPr="008F1309" w:rsidRDefault="00C6618F" w:rsidP="00C6618F">
      <w:pPr>
        <w:pStyle w:val="TF"/>
        <w:tabs>
          <w:tab w:val="center" w:pos="4819"/>
          <w:tab w:val="left" w:pos="7574"/>
        </w:tabs>
        <w:jc w:val="left"/>
        <w:rPr>
          <w:rFonts w:cs="Arial"/>
        </w:rPr>
      </w:pPr>
      <w:r>
        <w:rPr>
          <w:rFonts w:ascii="Times New Roman" w:hAnsi="Times New Roman"/>
          <w:b w:val="0"/>
        </w:rPr>
        <w:tab/>
      </w:r>
      <w:bookmarkStart w:id="8" w:name="OLE_LINK14"/>
      <w:r w:rsidRPr="008F1309">
        <w:rPr>
          <w:rFonts w:cs="Arial"/>
        </w:rPr>
        <w:t>Figure 8.</w:t>
      </w:r>
      <w:r>
        <w:rPr>
          <w:rFonts w:cs="Arial"/>
        </w:rPr>
        <w:t>z.1</w:t>
      </w:r>
      <w:r w:rsidRPr="008F1309">
        <w:rPr>
          <w:rFonts w:cs="Arial"/>
        </w:rPr>
        <w:t xml:space="preserve">-1: The </w:t>
      </w:r>
      <w:r w:rsidRPr="008F1309">
        <w:rPr>
          <w:rFonts w:cs="Arial"/>
          <w:lang w:eastAsia="ja-JP"/>
        </w:rPr>
        <w:t>integration</w:t>
      </w:r>
      <w:r w:rsidRPr="008F1309">
        <w:rPr>
          <w:rFonts w:cs="Arial"/>
        </w:rPr>
        <w:t xml:space="preserve"> procedure for IAB-</w:t>
      </w:r>
      <w:r w:rsidRPr="008F1309">
        <w:rPr>
          <w:rFonts w:cs="Arial"/>
          <w:lang w:eastAsia="ja-JP"/>
        </w:rPr>
        <w:t>node</w:t>
      </w:r>
      <w:bookmarkEnd w:id="8"/>
      <w:r>
        <w:rPr>
          <w:rFonts w:cs="Arial"/>
          <w:lang w:eastAsia="ja-JP"/>
        </w:rPr>
        <w:t xml:space="preserve"> in SA</w:t>
      </w:r>
      <w:r w:rsidRPr="008F1309">
        <w:rPr>
          <w:rFonts w:cs="Arial"/>
        </w:rPr>
        <w:tab/>
      </w:r>
    </w:p>
    <w:p w14:paraId="1028B1D7" w14:textId="50678FB5" w:rsidR="00C6618F" w:rsidRPr="00C6618F" w:rsidRDefault="00C6618F" w:rsidP="00C6618F">
      <w:pPr>
        <w:pStyle w:val="B10"/>
        <w:ind w:left="578" w:firstLine="0"/>
        <w:jc w:val="both"/>
        <w:rPr>
          <w:rFonts w:ascii="Times New Roman" w:hAnsi="Times New Roman"/>
          <w:lang w:eastAsia="ja-JP"/>
        </w:rPr>
      </w:pPr>
      <w:r w:rsidRPr="00C6618F">
        <w:rPr>
          <w:rFonts w:ascii="Times New Roman" w:hAnsi="Times New Roman"/>
        </w:rPr>
        <w:t>Phase</w:t>
      </w:r>
      <w:r w:rsidRPr="00C6618F">
        <w:rPr>
          <w:rFonts w:ascii="Times New Roman" w:hAnsi="Times New Roman"/>
          <w:lang w:eastAsia="ja-JP"/>
        </w:rPr>
        <w:t xml:space="preserve"> 1: IAB-MT setup. In this phase, the IAB-MT of the new IAB-node (e.g. IAB-node 2 in Figure 8.z.1-1) connects to the network in the same way as a UE, by performing RRC connection setup procedure with IAB-donor-CU, authentication with the core network, IAB-node 2-related context management, IAB-node 2’s access traffic-related radio bearer configuration at the RAN side</w:t>
      </w:r>
      <w:ins w:id="9" w:author="Ericsson User" w:date="2020-06-11T14:34:00Z">
        <w:r w:rsidR="0079690B" w:rsidRPr="0079690B">
          <w:t xml:space="preserve"> </w:t>
        </w:r>
        <w:r w:rsidR="0079690B" w:rsidRPr="0079690B">
          <w:rPr>
            <w:rFonts w:ascii="Times New Roman" w:hAnsi="Times New Roman"/>
            <w:lang w:eastAsia="ja-JP"/>
          </w:rPr>
          <w:t>(SRBs and optionally DRBs)</w:t>
        </w:r>
      </w:ins>
      <w:r w:rsidRPr="00C6618F">
        <w:rPr>
          <w:rFonts w:ascii="Times New Roman" w:hAnsi="Times New Roman"/>
          <w:lang w:eastAsia="ja-JP"/>
        </w:rPr>
        <w:t xml:space="preserve">, and, optionally, OAM connectivity establishment by using the IAB-MT’s PDU session. The IAB-node can select the parent node for access based on an over-the-air indication from potential parent node IAB-DU (transmitted in SIB1). To indicate its IAB capability, the IAB-MT includes the IAB-node indication in </w:t>
      </w:r>
      <w:r w:rsidRPr="00C6618F">
        <w:rPr>
          <w:rFonts w:ascii="Times New Roman" w:hAnsi="Times New Roman"/>
          <w:i/>
          <w:lang w:eastAsia="ja-JP"/>
        </w:rPr>
        <w:t>RRCSetupComplete</w:t>
      </w:r>
      <w:r w:rsidRPr="00C6618F">
        <w:rPr>
          <w:rFonts w:ascii="Times New Roman" w:hAnsi="Times New Roman"/>
          <w:lang w:eastAsia="ja-JP"/>
        </w:rPr>
        <w:t xml:space="preserve"> message, to assist the IAB-donor to select an AMF supporting IAB.</w:t>
      </w:r>
    </w:p>
    <w:p w14:paraId="043B409A" w14:textId="77777777" w:rsidR="00C6618F" w:rsidRPr="00C6618F" w:rsidRDefault="00C6618F" w:rsidP="00C6618F">
      <w:pPr>
        <w:pStyle w:val="NO"/>
        <w:adjustRightInd w:val="0"/>
        <w:ind w:left="1191" w:hanging="624"/>
        <w:jc w:val="both"/>
        <w:textAlignment w:val="baseline"/>
        <w:rPr>
          <w:rFonts w:ascii="Times New Roman" w:hAnsi="Times New Roman"/>
        </w:rPr>
      </w:pPr>
      <w:r w:rsidRPr="00C6618F">
        <w:rPr>
          <w:rFonts w:ascii="Times New Roman" w:hAnsi="Times New Roman"/>
        </w:rPr>
        <w:t xml:space="preserve">NOTE: The signalling flow for UE initial access procedure as shown in Figure 8.1-1/Figure 8.9.1-1 is used for the setup of the IAB-MT. </w:t>
      </w:r>
    </w:p>
    <w:p w14:paraId="702A0FF6" w14:textId="77777777" w:rsidR="00C6618F" w:rsidRPr="00C6618F" w:rsidRDefault="00C6618F" w:rsidP="00C6618F">
      <w:pPr>
        <w:pStyle w:val="B10"/>
        <w:ind w:left="578" w:firstLine="0"/>
        <w:jc w:val="both"/>
        <w:rPr>
          <w:rFonts w:ascii="Times New Roman" w:hAnsi="Times New Roman"/>
          <w:lang w:eastAsia="zh-CN"/>
        </w:rPr>
      </w:pPr>
      <w:r w:rsidRPr="00C6618F">
        <w:rPr>
          <w:rFonts w:ascii="Times New Roman" w:hAnsi="Times New Roman"/>
        </w:rPr>
        <w:t xml:space="preserve">Phase 2-1: BH RLC channel establishment. During the bootstrapping procedure, one default BH RLC channel for non-UP traffic e.g. carrying F1-C traffic/non-F1 traffic to and from the IAB-node 2 in the integration phase, is established. This may require the setup of a new BH RLC channel or modification of an existing BH RLC channel between IAB-node 1 and IAB-donor-DU. </w:t>
      </w:r>
      <w:bookmarkStart w:id="10" w:name="_Hlk33703676"/>
      <w:r w:rsidRPr="00C6618F">
        <w:rPr>
          <w:rFonts w:ascii="Times New Roman" w:hAnsi="Times New Roman"/>
        </w:rPr>
        <w:t>The IAB-donor-CU may establish additional (non-default) BH RLC channels.</w:t>
      </w:r>
      <w:bookmarkEnd w:id="10"/>
      <w:r w:rsidRPr="00C6618F">
        <w:rPr>
          <w:rFonts w:ascii="Times New Roman" w:hAnsi="Times New Roman"/>
        </w:rPr>
        <w:t xml:space="preserve"> This phase also includes configuring the BAP Address of the IAB-node 2 and default BAP Routing </w:t>
      </w:r>
      <w:r w:rsidRPr="00C6618F">
        <w:rPr>
          <w:rFonts w:ascii="Times New Roman" w:eastAsia="SimSun" w:hAnsi="Times New Roman"/>
          <w:lang w:val="en-US" w:eastAsia="zh-CN"/>
        </w:rPr>
        <w:t xml:space="preserve">ID </w:t>
      </w:r>
      <w:r w:rsidRPr="00C6618F">
        <w:rPr>
          <w:rFonts w:ascii="Times New Roman" w:hAnsi="Times New Roman"/>
        </w:rPr>
        <w:t>for the upstream direction.</w:t>
      </w:r>
    </w:p>
    <w:p w14:paraId="18B33D2A" w14:textId="77777777" w:rsidR="00C6618F" w:rsidRPr="00C6618F" w:rsidRDefault="00C6618F" w:rsidP="00C6618F">
      <w:pPr>
        <w:pStyle w:val="NO"/>
        <w:adjustRightInd w:val="0"/>
        <w:ind w:left="1191" w:hanging="624"/>
        <w:jc w:val="both"/>
        <w:textAlignment w:val="baseline"/>
        <w:rPr>
          <w:rFonts w:ascii="Times New Roman" w:hAnsi="Times New Roman"/>
        </w:rPr>
      </w:pPr>
      <w:r w:rsidRPr="00C6618F">
        <w:rPr>
          <w:rFonts w:ascii="Times New Roman" w:hAnsi="Times New Roman"/>
        </w:rPr>
        <w:t xml:space="preserve">NOTE: If the OAM connectivity is supported via backhaul IP layer by implementation, one or more BH RLC channels used for OAM traffic can also be established. </w:t>
      </w:r>
    </w:p>
    <w:p w14:paraId="2F3E4435" w14:textId="77777777" w:rsidR="00C6618F" w:rsidRPr="00C6618F" w:rsidRDefault="00C6618F" w:rsidP="00C6618F">
      <w:pPr>
        <w:pStyle w:val="B10"/>
        <w:ind w:left="578" w:firstLine="0"/>
        <w:jc w:val="both"/>
        <w:rPr>
          <w:rFonts w:ascii="Times New Roman" w:eastAsia="Wingdings" w:hAnsi="Times New Roman"/>
        </w:rPr>
      </w:pPr>
      <w:r w:rsidRPr="00C6618F">
        <w:rPr>
          <w:rFonts w:ascii="Times New Roman" w:hAnsi="Times New Roman"/>
        </w:rPr>
        <w:t xml:space="preserve">Phase 2-2: Routing update. In this phase, the BAP sublayer is updated to support routing between the new IAB-node 2 and the IAB-donor-DU. For the downstream direction, the IAB-donor-CU initiates F1AP procedure to configure the IAB-donor-DU with the mapping from IP header field(s) to the BAP Routing ID related to IAB-node 2. The routing tables are updated on all ancestor IAB-nodes (e.g. IAB-node 1 in </w:t>
      </w:r>
      <w:r w:rsidRPr="00C6618F">
        <w:rPr>
          <w:rFonts w:ascii="Times New Roman" w:hAnsi="Times New Roman"/>
          <w:lang w:eastAsia="zh-CN"/>
        </w:rPr>
        <w:t>Figure 8.z.1-1</w:t>
      </w:r>
      <w:r w:rsidRPr="00C6618F">
        <w:rPr>
          <w:rFonts w:ascii="Times New Roman" w:hAnsi="Times New Roman"/>
        </w:rPr>
        <w:t xml:space="preserve">) and on the IAB-donor-DU, with routing entries for the new BAP Routing ID(s). </w:t>
      </w:r>
      <w:r w:rsidRPr="00C6618F">
        <w:rPr>
          <w:rFonts w:ascii="Times New Roman" w:hAnsi="Times New Roman"/>
          <w:lang w:eastAsia="ja-JP"/>
        </w:rPr>
        <w:t xml:space="preserve">This phase may also include the IP address allocation procedure for IAB-node 2. IAB-node 2 may </w:t>
      </w:r>
      <w:r w:rsidRPr="00C6618F">
        <w:rPr>
          <w:rFonts w:ascii="Times New Roman" w:hAnsi="Times New Roman"/>
        </w:rPr>
        <w:t>request one or more IP addresses from the IAB-donor-CU via RRC. The IAB-donor-CU may send the IP address(es) to the IAB-node 2 via RRC. The IAB-donor-CU may obtain the IP address(es) from the IAB-donor-DU via F1-AP or by other means (e.g. OAM, DHCP). IP address allocation procedure may occur at any time after RRC connection has been established.</w:t>
      </w:r>
    </w:p>
    <w:p w14:paraId="02CB77D4" w14:textId="77777777" w:rsidR="00C6618F" w:rsidRPr="00C6618F" w:rsidRDefault="00C6618F" w:rsidP="00C6618F">
      <w:pPr>
        <w:pStyle w:val="B10"/>
        <w:ind w:left="578" w:firstLine="0"/>
        <w:jc w:val="both"/>
        <w:rPr>
          <w:rFonts w:ascii="Times New Roman" w:hAnsi="Times New Roman"/>
        </w:rPr>
      </w:pPr>
      <w:r w:rsidRPr="00C6618F">
        <w:rPr>
          <w:rFonts w:ascii="Times New Roman" w:hAnsi="Times New Roman"/>
        </w:rPr>
        <w:t xml:space="preserve">Phase 3: IAB-DU part setup. In this phase, the IAB-DU of IAB-node 2 is configured via OAM. The IAB-DU of IAB-node 2 initiates the TNL establishment, and F1 setup (as defined </w:t>
      </w:r>
      <w:r w:rsidRPr="00C6618F">
        <w:rPr>
          <w:rFonts w:ascii="Times New Roman" w:hAnsi="Times New Roman"/>
          <w:color w:val="000000"/>
        </w:rPr>
        <w:t>in clause 8.5)</w:t>
      </w:r>
      <w:r w:rsidRPr="00C6618F">
        <w:rPr>
          <w:rFonts w:ascii="Times New Roman" w:hAnsi="Times New Roman"/>
        </w:rPr>
        <w:t xml:space="preserve"> with the IAB-donor-CU using the allocated IP address(es). The IAB-donor-CU discovers collocation of IAB-MT and IAB-DU from the IAB-node’s BAP Address included in the F1 SETUP REQUEST message. After the F1 is set up, the IAB-node 2 can start serving the UEs.</w:t>
      </w:r>
    </w:p>
    <w:p w14:paraId="52C0B9EF" w14:textId="4E266DB4" w:rsidR="00C6618F" w:rsidRDefault="00C6618F" w:rsidP="00C6618F">
      <w:pPr>
        <w:pStyle w:val="NO"/>
        <w:adjustRightInd w:val="0"/>
        <w:ind w:left="1191" w:hanging="624"/>
        <w:jc w:val="both"/>
        <w:textAlignment w:val="baseline"/>
        <w:rPr>
          <w:rFonts w:ascii="Times New Roman" w:hAnsi="Times New Roman"/>
        </w:rPr>
      </w:pPr>
      <w:r w:rsidRPr="00C6618F">
        <w:rPr>
          <w:rFonts w:ascii="Times New Roman" w:hAnsi="Times New Roman"/>
        </w:rPr>
        <w:t>NOTE: The IAB-DU can discover the IAB-donor-CU’s IP address in the same manner as a non-IAB gNB-DU.</w:t>
      </w:r>
      <w:bookmarkEnd w:id="6"/>
    </w:p>
    <w:p w14:paraId="334B760C" w14:textId="70FC7429" w:rsidR="00CB42FC" w:rsidRDefault="00CB42FC" w:rsidP="00C6618F">
      <w:pPr>
        <w:pStyle w:val="NO"/>
        <w:adjustRightInd w:val="0"/>
        <w:ind w:left="1191" w:hanging="624"/>
        <w:jc w:val="both"/>
        <w:textAlignment w:val="baseline"/>
        <w:rPr>
          <w:rFonts w:ascii="Times New Roman" w:hAnsi="Times New Roman"/>
        </w:rPr>
      </w:pPr>
    </w:p>
    <w:p w14:paraId="200145E1" w14:textId="3550A1D1" w:rsidR="00CB42FC" w:rsidRPr="00006476" w:rsidRDefault="00CB42FC" w:rsidP="00006476">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sectPr w:rsidR="00CB42FC" w:rsidRPr="0000647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D6CAA" w14:textId="77777777" w:rsidR="00C23B1C" w:rsidRDefault="00C23B1C">
      <w:r>
        <w:separator/>
      </w:r>
    </w:p>
  </w:endnote>
  <w:endnote w:type="continuationSeparator" w:id="0">
    <w:p w14:paraId="7F124987" w14:textId="77777777" w:rsidR="00C23B1C" w:rsidRDefault="00C23B1C">
      <w:r>
        <w:continuationSeparator/>
      </w:r>
    </w:p>
  </w:endnote>
  <w:endnote w:type="continuationNotice" w:id="1">
    <w:p w14:paraId="23082D2B" w14:textId="77777777" w:rsidR="00C23B1C" w:rsidRDefault="00C23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Liberation Sans">
    <w:charset w:val="00"/>
    <w:family w:val="swiss"/>
    <w:pitch w:val="variable"/>
    <w:sig w:usb0="E0000AFF" w:usb1="500078FF" w:usb2="00000021" w:usb3="00000000" w:csb0="000001B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altName w:val="Microsoft YaHei"/>
    <w:charset w:val="86"/>
    <w:family w:val="modern"/>
    <w:pitch w:val="fixed"/>
    <w:sig w:usb0="800002BF" w:usb1="38CF7CFA"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CE4815" w:rsidRDefault="00CE48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1B14C" w14:textId="77777777" w:rsidR="00C23B1C" w:rsidRDefault="00C23B1C">
      <w:r>
        <w:separator/>
      </w:r>
    </w:p>
  </w:footnote>
  <w:footnote w:type="continuationSeparator" w:id="0">
    <w:p w14:paraId="1F416B92" w14:textId="77777777" w:rsidR="00C23B1C" w:rsidRDefault="00C23B1C">
      <w:r>
        <w:continuationSeparator/>
      </w:r>
    </w:p>
  </w:footnote>
  <w:footnote w:type="continuationNotice" w:id="1">
    <w:p w14:paraId="486B2DEE" w14:textId="77777777" w:rsidR="00C23B1C" w:rsidRDefault="00C23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CE4815" w:rsidRDefault="00CE48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A426DB"/>
    <w:multiLevelType w:val="hybridMultilevel"/>
    <w:tmpl w:val="AB927732"/>
    <w:lvl w:ilvl="0" w:tplc="7C02C3E2">
      <w:numFmt w:val="bullet"/>
      <w:lvlText w:val="-"/>
      <w:lvlJc w:val="left"/>
      <w:pPr>
        <w:ind w:left="704" w:hanging="420"/>
      </w:pPr>
      <w:rPr>
        <w:rFonts w:ascii="Arial" w:eastAsia="Wingdings" w:hAnsi="Arial" w:cs="Arial" w:hint="default"/>
      </w:rPr>
    </w:lvl>
    <w:lvl w:ilvl="1" w:tplc="04090003" w:tentative="1">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Arial" w:hAnsi="Arial" w:hint="default"/>
      </w:rPr>
    </w:lvl>
    <w:lvl w:ilvl="5" w:tplc="04090005" w:tentative="1">
      <w:start w:val="1"/>
      <w:numFmt w:val="bullet"/>
      <w:lvlText w:val=""/>
      <w:lvlJc w:val="left"/>
      <w:pPr>
        <w:ind w:left="2804" w:hanging="420"/>
      </w:pPr>
      <w:rPr>
        <w:rFonts w:ascii="Arial" w:hAnsi="Arial" w:hint="default"/>
      </w:rPr>
    </w:lvl>
    <w:lvl w:ilvl="6" w:tplc="04090001" w:tentative="1">
      <w:start w:val="1"/>
      <w:numFmt w:val="bullet"/>
      <w:lvlText w:val=""/>
      <w:lvlJc w:val="left"/>
      <w:pPr>
        <w:ind w:left="3224" w:hanging="420"/>
      </w:pPr>
      <w:rPr>
        <w:rFonts w:ascii="Arial" w:hAnsi="Arial" w:hint="default"/>
      </w:rPr>
    </w:lvl>
    <w:lvl w:ilvl="7" w:tplc="04090003" w:tentative="1">
      <w:start w:val="1"/>
      <w:numFmt w:val="bullet"/>
      <w:lvlText w:val=""/>
      <w:lvlJc w:val="left"/>
      <w:pPr>
        <w:ind w:left="3644" w:hanging="420"/>
      </w:pPr>
      <w:rPr>
        <w:rFonts w:ascii="Arial" w:hAnsi="Arial" w:hint="default"/>
      </w:rPr>
    </w:lvl>
    <w:lvl w:ilvl="8" w:tplc="04090005" w:tentative="1">
      <w:start w:val="1"/>
      <w:numFmt w:val="bullet"/>
      <w:lvlText w:val=""/>
      <w:lvlJc w:val="left"/>
      <w:pPr>
        <w:ind w:left="4064" w:hanging="420"/>
      </w:pPr>
      <w:rPr>
        <w:rFonts w:ascii="Arial" w:hAnsi="Arial"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9EF2C4A"/>
    <w:multiLevelType w:val="hybridMultilevel"/>
    <w:tmpl w:val="FFDAD5F2"/>
    <w:lvl w:ilvl="0" w:tplc="AFE43C78">
      <w:start w:val="1"/>
      <w:numFmt w:val="bullet"/>
      <w:lvlText w:val=""/>
      <w:lvlJc w:val="left"/>
      <w:pPr>
        <w:ind w:left="785" w:hanging="360"/>
      </w:pPr>
      <w:rPr>
        <w:rFonts w:ascii="Cambria Math" w:hAnsi="Cambria Math" w:hint="default"/>
      </w:rPr>
    </w:lvl>
    <w:lvl w:ilvl="1" w:tplc="04090003" w:tentative="1">
      <w:start w:val="1"/>
      <w:numFmt w:val="bullet"/>
      <w:lvlText w:val="o"/>
      <w:lvlJc w:val="left"/>
      <w:pPr>
        <w:ind w:left="1490" w:hanging="360"/>
      </w:pPr>
      <w:rPr>
        <w:rFonts w:ascii="Liberation Sans" w:hAnsi="Liberation Sans" w:cs="Liberation Sans" w:hint="default"/>
      </w:rPr>
    </w:lvl>
    <w:lvl w:ilvl="2" w:tplc="04090005" w:tentative="1">
      <w:start w:val="1"/>
      <w:numFmt w:val="bullet"/>
      <w:lvlText w:val=""/>
      <w:lvlJc w:val="left"/>
      <w:pPr>
        <w:ind w:left="2210" w:hanging="360"/>
      </w:pPr>
      <w:rPr>
        <w:rFonts w:ascii="Arial" w:hAnsi="Arial" w:hint="default"/>
      </w:rPr>
    </w:lvl>
    <w:lvl w:ilvl="3" w:tplc="04090001" w:tentative="1">
      <w:start w:val="1"/>
      <w:numFmt w:val="bullet"/>
      <w:lvlText w:val=""/>
      <w:lvlJc w:val="left"/>
      <w:pPr>
        <w:ind w:left="2930" w:hanging="360"/>
      </w:pPr>
      <w:rPr>
        <w:rFonts w:ascii="SimHei" w:hAnsi="SimHei" w:hint="default"/>
      </w:rPr>
    </w:lvl>
    <w:lvl w:ilvl="4" w:tplc="04090003" w:tentative="1">
      <w:start w:val="1"/>
      <w:numFmt w:val="bullet"/>
      <w:lvlText w:val="o"/>
      <w:lvlJc w:val="left"/>
      <w:pPr>
        <w:ind w:left="3650" w:hanging="360"/>
      </w:pPr>
      <w:rPr>
        <w:rFonts w:ascii="Liberation Sans" w:hAnsi="Liberation Sans" w:cs="Liberation Sans" w:hint="default"/>
      </w:rPr>
    </w:lvl>
    <w:lvl w:ilvl="5" w:tplc="04090005" w:tentative="1">
      <w:start w:val="1"/>
      <w:numFmt w:val="bullet"/>
      <w:lvlText w:val=""/>
      <w:lvlJc w:val="left"/>
      <w:pPr>
        <w:ind w:left="4370" w:hanging="360"/>
      </w:pPr>
      <w:rPr>
        <w:rFonts w:ascii="Arial" w:hAnsi="Arial" w:hint="default"/>
      </w:rPr>
    </w:lvl>
    <w:lvl w:ilvl="6" w:tplc="04090001" w:tentative="1">
      <w:start w:val="1"/>
      <w:numFmt w:val="bullet"/>
      <w:lvlText w:val=""/>
      <w:lvlJc w:val="left"/>
      <w:pPr>
        <w:ind w:left="5090" w:hanging="360"/>
      </w:pPr>
      <w:rPr>
        <w:rFonts w:ascii="SimHei" w:hAnsi="SimHei" w:hint="default"/>
      </w:rPr>
    </w:lvl>
    <w:lvl w:ilvl="7" w:tplc="04090003" w:tentative="1">
      <w:start w:val="1"/>
      <w:numFmt w:val="bullet"/>
      <w:lvlText w:val="o"/>
      <w:lvlJc w:val="left"/>
      <w:pPr>
        <w:ind w:left="5810" w:hanging="360"/>
      </w:pPr>
      <w:rPr>
        <w:rFonts w:ascii="Liberation Sans" w:hAnsi="Liberation Sans" w:cs="Liberation Sans" w:hint="default"/>
      </w:rPr>
    </w:lvl>
    <w:lvl w:ilvl="8" w:tplc="04090005" w:tentative="1">
      <w:start w:val="1"/>
      <w:numFmt w:val="bullet"/>
      <w:lvlText w:val=""/>
      <w:lvlJc w:val="left"/>
      <w:pPr>
        <w:ind w:left="6530" w:hanging="360"/>
      </w:pPr>
      <w:rPr>
        <w:rFonts w:ascii="Arial" w:hAnsi="Arial" w:hint="default"/>
      </w:rPr>
    </w:lvl>
  </w:abstractNum>
  <w:abstractNum w:abstractNumId="6" w15:restartNumberingAfterBreak="0">
    <w:nsid w:val="1A560F9F"/>
    <w:multiLevelType w:val="multilevel"/>
    <w:tmpl w:val="1A560F9F"/>
    <w:lvl w:ilvl="0">
      <w:start w:val="12"/>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A1B0E"/>
    <w:multiLevelType w:val="hybridMultilevel"/>
    <w:tmpl w:val="C2ACEDB4"/>
    <w:lvl w:ilvl="0" w:tplc="7F50867C">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510673D"/>
    <w:multiLevelType w:val="multilevel"/>
    <w:tmpl w:val="3510673D"/>
    <w:lvl w:ilvl="0">
      <w:start w:val="1"/>
      <w:numFmt w:val="decimal"/>
      <w:lvlText w:val="%1."/>
      <w:lvlJc w:val="left"/>
      <w:pPr>
        <w:ind w:left="644" w:hanging="360"/>
      </w:pPr>
      <w:rPr>
        <w:rFonts w:eastAsia="楷体"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511FBB"/>
    <w:multiLevelType w:val="hybridMultilevel"/>
    <w:tmpl w:val="1E96B53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32DBD"/>
    <w:multiLevelType w:val="hybridMultilevel"/>
    <w:tmpl w:val="F0AC9C30"/>
    <w:lvl w:ilvl="0" w:tplc="5A4816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7D2036"/>
    <w:multiLevelType w:val="hybridMultilevel"/>
    <w:tmpl w:val="3F5895E6"/>
    <w:lvl w:ilvl="0" w:tplc="AB26546C">
      <w:start w:val="1"/>
      <w:numFmt w:val="bullet"/>
      <w:lvlText w:val="•"/>
      <w:lvlJc w:val="left"/>
      <w:pPr>
        <w:ind w:left="1124" w:hanging="420"/>
      </w:pPr>
      <w:rPr>
        <w:rFonts w:ascii="Arial" w:hAnsi="Arial" w:hint="default"/>
      </w:rPr>
    </w:lvl>
    <w:lvl w:ilvl="1" w:tplc="04090003" w:tentative="1">
      <w:start w:val="1"/>
      <w:numFmt w:val="bullet"/>
      <w:lvlText w:val=""/>
      <w:lvlJc w:val="left"/>
      <w:pPr>
        <w:ind w:left="1544" w:hanging="420"/>
      </w:pPr>
      <w:rPr>
        <w:rFonts w:ascii="Cambria Math" w:hAnsi="Cambria Math" w:hint="default"/>
      </w:rPr>
    </w:lvl>
    <w:lvl w:ilvl="2" w:tplc="04090005" w:tentative="1">
      <w:start w:val="1"/>
      <w:numFmt w:val="bullet"/>
      <w:lvlText w:val=""/>
      <w:lvlJc w:val="left"/>
      <w:pPr>
        <w:ind w:left="1964" w:hanging="420"/>
      </w:pPr>
      <w:rPr>
        <w:rFonts w:ascii="Cambria Math" w:hAnsi="Cambria Math" w:hint="default"/>
      </w:rPr>
    </w:lvl>
    <w:lvl w:ilvl="3" w:tplc="04090001" w:tentative="1">
      <w:start w:val="1"/>
      <w:numFmt w:val="bullet"/>
      <w:lvlText w:val=""/>
      <w:lvlJc w:val="left"/>
      <w:pPr>
        <w:ind w:left="2384" w:hanging="420"/>
      </w:pPr>
      <w:rPr>
        <w:rFonts w:ascii="Cambria Math" w:hAnsi="Cambria Math" w:hint="default"/>
      </w:rPr>
    </w:lvl>
    <w:lvl w:ilvl="4" w:tplc="04090003" w:tentative="1">
      <w:start w:val="1"/>
      <w:numFmt w:val="bullet"/>
      <w:lvlText w:val=""/>
      <w:lvlJc w:val="left"/>
      <w:pPr>
        <w:ind w:left="2804" w:hanging="420"/>
      </w:pPr>
      <w:rPr>
        <w:rFonts w:ascii="Cambria Math" w:hAnsi="Cambria Math" w:hint="default"/>
      </w:rPr>
    </w:lvl>
    <w:lvl w:ilvl="5" w:tplc="04090005" w:tentative="1">
      <w:start w:val="1"/>
      <w:numFmt w:val="bullet"/>
      <w:lvlText w:val=""/>
      <w:lvlJc w:val="left"/>
      <w:pPr>
        <w:ind w:left="3224" w:hanging="420"/>
      </w:pPr>
      <w:rPr>
        <w:rFonts w:ascii="Cambria Math" w:hAnsi="Cambria Math" w:hint="default"/>
      </w:rPr>
    </w:lvl>
    <w:lvl w:ilvl="6" w:tplc="04090001" w:tentative="1">
      <w:start w:val="1"/>
      <w:numFmt w:val="bullet"/>
      <w:lvlText w:val=""/>
      <w:lvlJc w:val="left"/>
      <w:pPr>
        <w:ind w:left="3644" w:hanging="420"/>
      </w:pPr>
      <w:rPr>
        <w:rFonts w:ascii="Cambria Math" w:hAnsi="Cambria Math" w:hint="default"/>
      </w:rPr>
    </w:lvl>
    <w:lvl w:ilvl="7" w:tplc="04090003" w:tentative="1">
      <w:start w:val="1"/>
      <w:numFmt w:val="bullet"/>
      <w:lvlText w:val=""/>
      <w:lvlJc w:val="left"/>
      <w:pPr>
        <w:ind w:left="4064" w:hanging="420"/>
      </w:pPr>
      <w:rPr>
        <w:rFonts w:ascii="Cambria Math" w:hAnsi="Cambria Math" w:hint="default"/>
      </w:rPr>
    </w:lvl>
    <w:lvl w:ilvl="8" w:tplc="04090005" w:tentative="1">
      <w:start w:val="1"/>
      <w:numFmt w:val="bullet"/>
      <w:lvlText w:val=""/>
      <w:lvlJc w:val="left"/>
      <w:pPr>
        <w:ind w:left="4484" w:hanging="420"/>
      </w:pPr>
      <w:rPr>
        <w:rFonts w:ascii="Cambria Math" w:hAnsi="Cambria Math"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1"/>
  </w:num>
  <w:num w:numId="3">
    <w:abstractNumId w:val="17"/>
  </w:num>
  <w:num w:numId="4">
    <w:abstractNumId w:val="18"/>
  </w:num>
  <w:num w:numId="5">
    <w:abstractNumId w:val="12"/>
  </w:num>
  <w:num w:numId="6">
    <w:abstractNumId w:val="20"/>
  </w:num>
  <w:num w:numId="7">
    <w:abstractNumId w:val="27"/>
  </w:num>
  <w:num w:numId="8">
    <w:abstractNumId w:val="14"/>
  </w:num>
  <w:num w:numId="9">
    <w:abstractNumId w:val="22"/>
  </w:num>
  <w:num w:numId="10">
    <w:abstractNumId w:val="29"/>
  </w:num>
  <w:num w:numId="11">
    <w:abstractNumId w:val="31"/>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7"/>
  </w:num>
  <w:num w:numId="17">
    <w:abstractNumId w:val="26"/>
  </w:num>
  <w:num w:numId="18">
    <w:abstractNumId w:val="3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0"/>
  </w:num>
  <w:num w:numId="21">
    <w:abstractNumId w:val="19"/>
  </w:num>
  <w:num w:numId="22">
    <w:abstractNumId w:val="9"/>
  </w:num>
  <w:num w:numId="23">
    <w:abstractNumId w:val="24"/>
  </w:num>
  <w:num w:numId="24">
    <w:abstractNumId w:val="23"/>
  </w:num>
  <w:num w:numId="25">
    <w:abstractNumId w:val="11"/>
  </w:num>
  <w:num w:numId="26">
    <w:abstractNumId w:val="13"/>
  </w:num>
  <w:num w:numId="27">
    <w:abstractNumId w:val="3"/>
  </w:num>
  <w:num w:numId="28">
    <w:abstractNumId w:val="5"/>
  </w:num>
  <w:num w:numId="29">
    <w:abstractNumId w:val="28"/>
  </w:num>
  <w:num w:numId="30">
    <w:abstractNumId w:val="16"/>
  </w:num>
  <w:num w:numId="31">
    <w:abstractNumId w:val="6"/>
  </w:num>
  <w:num w:numId="32">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47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55F5"/>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67CC4"/>
    <w:rsid w:val="000700A9"/>
    <w:rsid w:val="0007087C"/>
    <w:rsid w:val="00071A1C"/>
    <w:rsid w:val="00071DA5"/>
    <w:rsid w:val="00072E88"/>
    <w:rsid w:val="00072F1A"/>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56D4"/>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1EC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170A"/>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8A7"/>
    <w:rsid w:val="000F6DF3"/>
    <w:rsid w:val="000F6F3E"/>
    <w:rsid w:val="000F700C"/>
    <w:rsid w:val="000F71F2"/>
    <w:rsid w:val="000F7B77"/>
    <w:rsid w:val="000F7E05"/>
    <w:rsid w:val="00100125"/>
    <w:rsid w:val="001005FF"/>
    <w:rsid w:val="001007F2"/>
    <w:rsid w:val="001016BF"/>
    <w:rsid w:val="0010226E"/>
    <w:rsid w:val="00102D88"/>
    <w:rsid w:val="00104D2C"/>
    <w:rsid w:val="001051DE"/>
    <w:rsid w:val="00105AC3"/>
    <w:rsid w:val="00105B09"/>
    <w:rsid w:val="001062FB"/>
    <w:rsid w:val="001063E6"/>
    <w:rsid w:val="00106B30"/>
    <w:rsid w:val="00107D31"/>
    <w:rsid w:val="00110EC5"/>
    <w:rsid w:val="00112266"/>
    <w:rsid w:val="00112E7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8C8"/>
    <w:rsid w:val="00147CAD"/>
    <w:rsid w:val="00150958"/>
    <w:rsid w:val="00151423"/>
    <w:rsid w:val="00151B89"/>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1C06"/>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0E8E"/>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16A"/>
    <w:rsid w:val="00192200"/>
    <w:rsid w:val="00192616"/>
    <w:rsid w:val="00192750"/>
    <w:rsid w:val="0019275D"/>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2F6"/>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387"/>
    <w:rsid w:val="0023274E"/>
    <w:rsid w:val="00232823"/>
    <w:rsid w:val="00232E78"/>
    <w:rsid w:val="00233335"/>
    <w:rsid w:val="00233636"/>
    <w:rsid w:val="00233933"/>
    <w:rsid w:val="00233CFA"/>
    <w:rsid w:val="00233F05"/>
    <w:rsid w:val="00233FA2"/>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034"/>
    <w:rsid w:val="002624F0"/>
    <w:rsid w:val="00263069"/>
    <w:rsid w:val="00263106"/>
    <w:rsid w:val="00263141"/>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2960"/>
    <w:rsid w:val="002D34B2"/>
    <w:rsid w:val="002D6C8C"/>
    <w:rsid w:val="002D6F9F"/>
    <w:rsid w:val="002D7637"/>
    <w:rsid w:val="002E0031"/>
    <w:rsid w:val="002E01F5"/>
    <w:rsid w:val="002E04BF"/>
    <w:rsid w:val="002E17F2"/>
    <w:rsid w:val="002E18C9"/>
    <w:rsid w:val="002E2246"/>
    <w:rsid w:val="002E2D78"/>
    <w:rsid w:val="002E311C"/>
    <w:rsid w:val="002E3483"/>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5919"/>
    <w:rsid w:val="00316437"/>
    <w:rsid w:val="0031667B"/>
    <w:rsid w:val="0031671A"/>
    <w:rsid w:val="00316E06"/>
    <w:rsid w:val="00317B01"/>
    <w:rsid w:val="00317F23"/>
    <w:rsid w:val="003203ED"/>
    <w:rsid w:val="003216A0"/>
    <w:rsid w:val="00321E7E"/>
    <w:rsid w:val="00321F75"/>
    <w:rsid w:val="00322985"/>
    <w:rsid w:val="00322A72"/>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53B"/>
    <w:rsid w:val="00381B6A"/>
    <w:rsid w:val="00384202"/>
    <w:rsid w:val="0038461B"/>
    <w:rsid w:val="00384709"/>
    <w:rsid w:val="003848BD"/>
    <w:rsid w:val="00385BF0"/>
    <w:rsid w:val="003868CC"/>
    <w:rsid w:val="00386960"/>
    <w:rsid w:val="00386A9D"/>
    <w:rsid w:val="00386D74"/>
    <w:rsid w:val="00390D97"/>
    <w:rsid w:val="00390E39"/>
    <w:rsid w:val="00392223"/>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3B65"/>
    <w:rsid w:val="003B3C42"/>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2B53"/>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314"/>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934"/>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A77AC"/>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6938"/>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4F73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20"/>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532A"/>
    <w:rsid w:val="005874A0"/>
    <w:rsid w:val="005875C9"/>
    <w:rsid w:val="0058798C"/>
    <w:rsid w:val="00590049"/>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4761"/>
    <w:rsid w:val="005C5071"/>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5B36"/>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A70"/>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0F66"/>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37EC0"/>
    <w:rsid w:val="00640405"/>
    <w:rsid w:val="00640AB9"/>
    <w:rsid w:val="00641471"/>
    <w:rsid w:val="0064151F"/>
    <w:rsid w:val="00641533"/>
    <w:rsid w:val="00641B12"/>
    <w:rsid w:val="0064208D"/>
    <w:rsid w:val="006428D2"/>
    <w:rsid w:val="0064307A"/>
    <w:rsid w:val="00643161"/>
    <w:rsid w:val="00643449"/>
    <w:rsid w:val="00643475"/>
    <w:rsid w:val="0064396A"/>
    <w:rsid w:val="0064452F"/>
    <w:rsid w:val="00644773"/>
    <w:rsid w:val="0064525E"/>
    <w:rsid w:val="00645E14"/>
    <w:rsid w:val="0064624E"/>
    <w:rsid w:val="006477F8"/>
    <w:rsid w:val="00650AB9"/>
    <w:rsid w:val="006518F6"/>
    <w:rsid w:val="00651B6B"/>
    <w:rsid w:val="00651C75"/>
    <w:rsid w:val="006526DD"/>
    <w:rsid w:val="00652CE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801"/>
    <w:rsid w:val="00671F7E"/>
    <w:rsid w:val="0067203F"/>
    <w:rsid w:val="0067218F"/>
    <w:rsid w:val="006723DA"/>
    <w:rsid w:val="00672FF3"/>
    <w:rsid w:val="00673145"/>
    <w:rsid w:val="006741F2"/>
    <w:rsid w:val="006748A5"/>
    <w:rsid w:val="00674CC3"/>
    <w:rsid w:val="00675C72"/>
    <w:rsid w:val="006760A8"/>
    <w:rsid w:val="00676151"/>
    <w:rsid w:val="006762BF"/>
    <w:rsid w:val="00676ECC"/>
    <w:rsid w:val="00676F03"/>
    <w:rsid w:val="006771F9"/>
    <w:rsid w:val="00677403"/>
    <w:rsid w:val="00677497"/>
    <w:rsid w:val="006776D7"/>
    <w:rsid w:val="00681003"/>
    <w:rsid w:val="006817C9"/>
    <w:rsid w:val="006827E1"/>
    <w:rsid w:val="00683357"/>
    <w:rsid w:val="00683458"/>
    <w:rsid w:val="00683E3E"/>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243"/>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053"/>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0641"/>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E63"/>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690B"/>
    <w:rsid w:val="007972D5"/>
    <w:rsid w:val="00797A5E"/>
    <w:rsid w:val="00797C2C"/>
    <w:rsid w:val="00797C32"/>
    <w:rsid w:val="007A0412"/>
    <w:rsid w:val="007A068F"/>
    <w:rsid w:val="007A0A15"/>
    <w:rsid w:val="007A0B24"/>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9DE"/>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7C7"/>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00F5"/>
    <w:rsid w:val="00820AF4"/>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094"/>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C7FA1"/>
    <w:rsid w:val="008D02F5"/>
    <w:rsid w:val="008D0C57"/>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89"/>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820"/>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7A0"/>
    <w:rsid w:val="009768A1"/>
    <w:rsid w:val="00976949"/>
    <w:rsid w:val="00977ACF"/>
    <w:rsid w:val="00980477"/>
    <w:rsid w:val="00980671"/>
    <w:rsid w:val="00980C74"/>
    <w:rsid w:val="009815DB"/>
    <w:rsid w:val="00981A92"/>
    <w:rsid w:val="0098201E"/>
    <w:rsid w:val="00983DAF"/>
    <w:rsid w:val="009850A6"/>
    <w:rsid w:val="00985253"/>
    <w:rsid w:val="009853B3"/>
    <w:rsid w:val="0098567E"/>
    <w:rsid w:val="00986534"/>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4DA8"/>
    <w:rsid w:val="009C5E8B"/>
    <w:rsid w:val="009C67BF"/>
    <w:rsid w:val="009C745D"/>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38F"/>
    <w:rsid w:val="009E057A"/>
    <w:rsid w:val="009E068F"/>
    <w:rsid w:val="009E0EA8"/>
    <w:rsid w:val="009E14E0"/>
    <w:rsid w:val="009E295F"/>
    <w:rsid w:val="009E2ED6"/>
    <w:rsid w:val="009E301B"/>
    <w:rsid w:val="009E3517"/>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58D4"/>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8EF"/>
    <w:rsid w:val="00A33A10"/>
    <w:rsid w:val="00A3432F"/>
    <w:rsid w:val="00A3448A"/>
    <w:rsid w:val="00A34823"/>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952"/>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58AA"/>
    <w:rsid w:val="00A8670A"/>
    <w:rsid w:val="00A871D0"/>
    <w:rsid w:val="00A87374"/>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DCC"/>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6827"/>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46EAE"/>
    <w:rsid w:val="00B500E0"/>
    <w:rsid w:val="00B5058B"/>
    <w:rsid w:val="00B5159B"/>
    <w:rsid w:val="00B516A1"/>
    <w:rsid w:val="00B51BBD"/>
    <w:rsid w:val="00B523A4"/>
    <w:rsid w:val="00B53B93"/>
    <w:rsid w:val="00B53D93"/>
    <w:rsid w:val="00B53F28"/>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4EBB"/>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5FE2"/>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D60D4"/>
    <w:rsid w:val="00BE007B"/>
    <w:rsid w:val="00BE1234"/>
    <w:rsid w:val="00BE2113"/>
    <w:rsid w:val="00BE2C35"/>
    <w:rsid w:val="00BE2FA6"/>
    <w:rsid w:val="00BE333F"/>
    <w:rsid w:val="00BE3759"/>
    <w:rsid w:val="00BE407D"/>
    <w:rsid w:val="00BE4532"/>
    <w:rsid w:val="00BE4610"/>
    <w:rsid w:val="00BE46E3"/>
    <w:rsid w:val="00BE4F7A"/>
    <w:rsid w:val="00BE66C7"/>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99A"/>
    <w:rsid w:val="00C01A1F"/>
    <w:rsid w:val="00C01BD7"/>
    <w:rsid w:val="00C01F33"/>
    <w:rsid w:val="00C02BE8"/>
    <w:rsid w:val="00C02CC6"/>
    <w:rsid w:val="00C03768"/>
    <w:rsid w:val="00C040F7"/>
    <w:rsid w:val="00C041B0"/>
    <w:rsid w:val="00C04371"/>
    <w:rsid w:val="00C044AB"/>
    <w:rsid w:val="00C052B3"/>
    <w:rsid w:val="00C05697"/>
    <w:rsid w:val="00C05706"/>
    <w:rsid w:val="00C057F4"/>
    <w:rsid w:val="00C07377"/>
    <w:rsid w:val="00C103DD"/>
    <w:rsid w:val="00C10478"/>
    <w:rsid w:val="00C11A67"/>
    <w:rsid w:val="00C12107"/>
    <w:rsid w:val="00C125EA"/>
    <w:rsid w:val="00C12A3F"/>
    <w:rsid w:val="00C13452"/>
    <w:rsid w:val="00C1462B"/>
    <w:rsid w:val="00C14A04"/>
    <w:rsid w:val="00C14B88"/>
    <w:rsid w:val="00C14D4B"/>
    <w:rsid w:val="00C15124"/>
    <w:rsid w:val="00C154BB"/>
    <w:rsid w:val="00C15B64"/>
    <w:rsid w:val="00C15B66"/>
    <w:rsid w:val="00C1670D"/>
    <w:rsid w:val="00C17F90"/>
    <w:rsid w:val="00C20259"/>
    <w:rsid w:val="00C210BC"/>
    <w:rsid w:val="00C21A56"/>
    <w:rsid w:val="00C21C9E"/>
    <w:rsid w:val="00C220D8"/>
    <w:rsid w:val="00C235EF"/>
    <w:rsid w:val="00C237F8"/>
    <w:rsid w:val="00C23B1C"/>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B23"/>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18F"/>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8C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35C"/>
    <w:rsid w:val="00CB2777"/>
    <w:rsid w:val="00CB3119"/>
    <w:rsid w:val="00CB406C"/>
    <w:rsid w:val="00CB42FC"/>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D7E92"/>
    <w:rsid w:val="00CE03E7"/>
    <w:rsid w:val="00CE0424"/>
    <w:rsid w:val="00CE2431"/>
    <w:rsid w:val="00CE2B7C"/>
    <w:rsid w:val="00CE35CD"/>
    <w:rsid w:val="00CE3D23"/>
    <w:rsid w:val="00CE3D56"/>
    <w:rsid w:val="00CE4815"/>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269"/>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3B6C"/>
    <w:rsid w:val="00D6435F"/>
    <w:rsid w:val="00D64438"/>
    <w:rsid w:val="00D64BBB"/>
    <w:rsid w:val="00D652B5"/>
    <w:rsid w:val="00D65542"/>
    <w:rsid w:val="00D65D99"/>
    <w:rsid w:val="00D65EDE"/>
    <w:rsid w:val="00D66155"/>
    <w:rsid w:val="00D6688D"/>
    <w:rsid w:val="00D668F9"/>
    <w:rsid w:val="00D708B0"/>
    <w:rsid w:val="00D70E73"/>
    <w:rsid w:val="00D7118C"/>
    <w:rsid w:val="00D7135D"/>
    <w:rsid w:val="00D729E1"/>
    <w:rsid w:val="00D72F69"/>
    <w:rsid w:val="00D73295"/>
    <w:rsid w:val="00D74F1C"/>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25BF"/>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2FDE"/>
    <w:rsid w:val="00D954FF"/>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43"/>
    <w:rsid w:val="00DC6998"/>
    <w:rsid w:val="00DC6E7C"/>
    <w:rsid w:val="00DC6EAE"/>
    <w:rsid w:val="00DD0E27"/>
    <w:rsid w:val="00DD1081"/>
    <w:rsid w:val="00DD11A7"/>
    <w:rsid w:val="00DD1425"/>
    <w:rsid w:val="00DD2697"/>
    <w:rsid w:val="00DD2B57"/>
    <w:rsid w:val="00DD2B60"/>
    <w:rsid w:val="00DD306C"/>
    <w:rsid w:val="00DD3F5E"/>
    <w:rsid w:val="00DD471D"/>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2BC9"/>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2D17"/>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097"/>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A82"/>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9F2"/>
    <w:rsid w:val="00F02A9D"/>
    <w:rsid w:val="00F02ECC"/>
    <w:rsid w:val="00F04333"/>
    <w:rsid w:val="00F04359"/>
    <w:rsid w:val="00F0480F"/>
    <w:rsid w:val="00F04C1C"/>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2C37"/>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4CC4"/>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EF3"/>
    <w:rsid w:val="00F67F53"/>
    <w:rsid w:val="00F7015B"/>
    <w:rsid w:val="00F703BE"/>
    <w:rsid w:val="00F7046E"/>
    <w:rsid w:val="00F7093E"/>
    <w:rsid w:val="00F718E8"/>
    <w:rsid w:val="00F71C22"/>
    <w:rsid w:val="00F71F69"/>
    <w:rsid w:val="00F72052"/>
    <w:rsid w:val="00F72B72"/>
    <w:rsid w:val="00F7366F"/>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904"/>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0EFA"/>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4F88"/>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5"/>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6"/>
      </w:numPr>
    </w:pPr>
  </w:style>
  <w:style w:type="numbering" w:styleId="1ai">
    <w:name w:val="Outline List 1"/>
    <w:basedOn w:val="NoList"/>
    <w:unhideWhenUsed/>
    <w:rsid w:val="00E362EB"/>
    <w:pPr>
      <w:numPr>
        <w:numId w:val="17"/>
      </w:numPr>
    </w:pPr>
  </w:style>
  <w:style w:type="numbering" w:styleId="111111">
    <w:name w:val="Outline List 2"/>
    <w:basedOn w:val="NoList"/>
    <w:unhideWhenUsed/>
    <w:rsid w:val="00E362EB"/>
    <w:pPr>
      <w:numPr>
        <w:numId w:val="18"/>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TAJ">
    <w:name w:val="TAJ"/>
    <w:basedOn w:val="TH"/>
    <w:rsid w:val="00322A72"/>
    <w:rPr>
      <w:lang w:eastAsia="en-GB"/>
    </w:rPr>
  </w:style>
  <w:style w:type="character" w:customStyle="1" w:styleId="TALLeft100cmCharChar0">
    <w:name w:val="TAL + Left:  1;00 cm Char Char"/>
    <w:rsid w:val="00322A72"/>
    <w:rPr>
      <w:rFonts w:ascii="Arial" w:hAnsi="Arial" w:cs="Arial"/>
      <w:sz w:val="18"/>
      <w:szCs w:val="18"/>
      <w:lang w:val="en-GB" w:eastAsia="en-GB"/>
    </w:rPr>
  </w:style>
  <w:style w:type="paragraph" w:customStyle="1" w:styleId="tal0">
    <w:name w:val="tal"/>
    <w:basedOn w:val="Normal"/>
    <w:rsid w:val="00322A72"/>
    <w:pPr>
      <w:spacing w:before="100" w:beforeAutospacing="1" w:after="100" w:afterAutospacing="1"/>
      <w:jc w:val="left"/>
    </w:pPr>
    <w:rPr>
      <w:rFonts w:ascii="SimSun" w:eastAsia="SimSun" w:hAnsi="SimSun" w:cs="SimSun"/>
      <w:sz w:val="24"/>
      <w:szCs w:val="24"/>
      <w:lang w:val="en-US"/>
    </w:rPr>
  </w:style>
  <w:style w:type="paragraph" w:customStyle="1" w:styleId="TALLeft0">
    <w:name w:val="TAL + Left:  0"/>
    <w:aliases w:val="19 cm"/>
    <w:basedOn w:val="Normal"/>
    <w:rsid w:val="00322A72"/>
    <w:pPr>
      <w:keepNext/>
      <w:keepLines/>
      <w:spacing w:after="0"/>
      <w:ind w:left="284"/>
      <w:jc w:val="left"/>
    </w:pPr>
    <w:rPr>
      <w:rFonts w:eastAsia="Batang" w:cs="Arial"/>
      <w:bCs/>
      <w:sz w:val="18"/>
      <w:lang w:eastAsia="ja-JP"/>
    </w:rPr>
  </w:style>
  <w:style w:type="character" w:customStyle="1" w:styleId="ProposalChar">
    <w:name w:val="Proposal Char"/>
    <w:link w:val="Proposal"/>
    <w:rsid w:val="00C6618F"/>
    <w:rPr>
      <w:rFonts w:ascii="Arial" w:hAnsi="Arial"/>
      <w:b/>
      <w:bCs/>
      <w:lang w:val="en-GB"/>
    </w:rPr>
  </w:style>
  <w:style w:type="character" w:styleId="Strong">
    <w:name w:val="Strong"/>
    <w:uiPriority w:val="22"/>
    <w:qFormat/>
    <w:rsid w:val="00C661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5876885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9b239327-9e80-40e4-b1b7-4394fed77a33"/>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234CCEE-B9F7-4403-B555-B2F3B84E1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3536</TotalTime>
  <Pages>4</Pages>
  <Words>1553</Words>
  <Characters>8235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9769</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576</cp:revision>
  <cp:lastPrinted>2018-04-05T01:02:00Z</cp:lastPrinted>
  <dcterms:created xsi:type="dcterms:W3CDTF">2019-10-04T22:50:00Z</dcterms:created>
  <dcterms:modified xsi:type="dcterms:W3CDTF">2020-06-12T07:03:00Z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